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A975B" w14:textId="2E0659AD"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 xml:space="preserve">DIP. </w:t>
      </w:r>
      <w:r w:rsidR="007804B7">
        <w:rPr>
          <w:rFonts w:ascii="Arial" w:hAnsi="Arial" w:cs="Arial"/>
          <w:b/>
          <w:bCs/>
          <w:sz w:val="24"/>
          <w:szCs w:val="24"/>
          <w:lang w:val="es-MX"/>
        </w:rPr>
        <w:t>ERIK JOSÉ RIHANI GONZÁLEZ</w:t>
      </w:r>
    </w:p>
    <w:p w14:paraId="7D5D4E74" w14:textId="6F07F202"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PRESIDENT</w:t>
      </w:r>
      <w:r w:rsidR="007804B7">
        <w:rPr>
          <w:rFonts w:ascii="Arial" w:hAnsi="Arial" w:cs="Arial"/>
          <w:b/>
          <w:bCs/>
          <w:sz w:val="24"/>
          <w:szCs w:val="24"/>
          <w:lang w:val="es-MX"/>
        </w:rPr>
        <w:t>E</w:t>
      </w:r>
      <w:r w:rsidRPr="007E36AA">
        <w:rPr>
          <w:rFonts w:ascii="Arial" w:hAnsi="Arial" w:cs="Arial"/>
          <w:b/>
          <w:bCs/>
          <w:sz w:val="24"/>
          <w:szCs w:val="24"/>
          <w:lang w:val="es-MX"/>
        </w:rPr>
        <w:t xml:space="preserve"> DE LA MESA DIRECTIVA DEL </w:t>
      </w:r>
    </w:p>
    <w:p w14:paraId="7F97B485" w14:textId="77777777"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 xml:space="preserve">CONGRESO DEL ESTADO DE YUCATÁN </w:t>
      </w:r>
    </w:p>
    <w:p w14:paraId="79F5403C" w14:textId="77777777"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P R E S E N T E</w:t>
      </w:r>
    </w:p>
    <w:p w14:paraId="50AE299E" w14:textId="77777777" w:rsidR="00AD141E" w:rsidRPr="00AD141E" w:rsidRDefault="00AD141E" w:rsidP="00D946FF">
      <w:pPr>
        <w:pBdr>
          <w:top w:val="nil"/>
          <w:left w:val="nil"/>
          <w:bottom w:val="nil"/>
          <w:right w:val="nil"/>
          <w:between w:val="nil"/>
        </w:pBdr>
        <w:shd w:val="clear" w:color="auto" w:fill="FFFFFF"/>
        <w:spacing w:after="0" w:line="276" w:lineRule="auto"/>
        <w:ind w:right="283"/>
        <w:jc w:val="both"/>
        <w:rPr>
          <w:rFonts w:ascii="Arial" w:hAnsi="Arial" w:cs="Arial"/>
          <w:b/>
          <w:sz w:val="24"/>
          <w:szCs w:val="24"/>
        </w:rPr>
      </w:pPr>
    </w:p>
    <w:p w14:paraId="6C17DA85" w14:textId="6E753CD2" w:rsidR="007804B7" w:rsidRPr="00042471" w:rsidRDefault="002920F5" w:rsidP="007804B7">
      <w:pPr>
        <w:jc w:val="both"/>
        <w:rPr>
          <w:rFonts w:ascii="Century Gothic" w:eastAsia="Lucida Sans Unicode" w:hAnsi="Century Gothic" w:cs="Arial"/>
          <w:bCs/>
          <w:kern w:val="1"/>
          <w:sz w:val="24"/>
          <w:szCs w:val="24"/>
          <w:lang w:eastAsia="hi-IN" w:bidi="hi-IN"/>
        </w:rPr>
      </w:pPr>
      <w:r w:rsidRPr="002920F5">
        <w:rPr>
          <w:rFonts w:ascii="Century Gothic" w:eastAsia="Lucida Sans Unicode" w:hAnsi="Century Gothic" w:cs="Arial"/>
          <w:kern w:val="1"/>
          <w:sz w:val="24"/>
          <w:szCs w:val="24"/>
          <w:lang w:val="es-US" w:eastAsia="hi-IN" w:bidi="hi-IN"/>
        </w:rPr>
        <w:t>Las y l</w:t>
      </w:r>
      <w:r w:rsidR="00624C31">
        <w:rPr>
          <w:rFonts w:ascii="Century Gothic" w:eastAsia="Lucida Sans Unicode" w:hAnsi="Century Gothic" w:cs="Arial"/>
          <w:kern w:val="1"/>
          <w:sz w:val="24"/>
          <w:szCs w:val="24"/>
          <w:lang w:val="es-US" w:eastAsia="hi-IN" w:bidi="hi-IN"/>
        </w:rPr>
        <w:t>os Diputados que integramos la Fracción L</w:t>
      </w:r>
      <w:r w:rsidRPr="002920F5">
        <w:rPr>
          <w:rFonts w:ascii="Century Gothic" w:eastAsia="Lucida Sans Unicode" w:hAnsi="Century Gothic" w:cs="Arial"/>
          <w:kern w:val="1"/>
          <w:sz w:val="24"/>
          <w:szCs w:val="24"/>
          <w:lang w:val="es-US" w:eastAsia="hi-IN" w:bidi="hi-IN"/>
        </w:rPr>
        <w:t xml:space="preserve">egislativa del Partido Acción Nacional de la </w:t>
      </w:r>
      <w:r w:rsidR="00624C31">
        <w:rPr>
          <w:rFonts w:ascii="Century Gothic" w:eastAsia="Lucida Sans Unicode" w:hAnsi="Century Gothic" w:cs="Arial"/>
          <w:kern w:val="1"/>
          <w:sz w:val="24"/>
          <w:szCs w:val="24"/>
          <w:lang w:val="es-US" w:eastAsia="hi-IN" w:bidi="hi-IN"/>
        </w:rPr>
        <w:t>Sexagésima Tercera</w:t>
      </w:r>
      <w:r w:rsidRPr="002920F5">
        <w:rPr>
          <w:rFonts w:ascii="Century Gothic" w:eastAsia="Lucida Sans Unicode" w:hAnsi="Century Gothic" w:cs="Arial"/>
          <w:kern w:val="1"/>
          <w:sz w:val="24"/>
          <w:szCs w:val="24"/>
          <w:lang w:val="es-US" w:eastAsia="hi-IN" w:bidi="hi-IN"/>
        </w:rPr>
        <w:t xml:space="preserve"> Legislatura de este H. Congreso del Estado de Yucatán, en ejercicio de la facultad conferida</w:t>
      </w:r>
      <w:r>
        <w:rPr>
          <w:rFonts w:ascii="Century Gothic" w:eastAsia="Lucida Sans Unicode" w:hAnsi="Century Gothic" w:cs="Arial"/>
          <w:kern w:val="1"/>
          <w:sz w:val="24"/>
          <w:szCs w:val="24"/>
          <w:lang w:eastAsia="hi-IN" w:bidi="hi-IN"/>
        </w:rPr>
        <w:t xml:space="preserve"> </w:t>
      </w:r>
      <w:r w:rsidR="007804B7" w:rsidRPr="00042471">
        <w:rPr>
          <w:rFonts w:ascii="Century Gothic" w:eastAsia="Lucida Sans Unicode" w:hAnsi="Century Gothic" w:cs="Arial"/>
          <w:bCs/>
          <w:kern w:val="1"/>
          <w:sz w:val="24"/>
          <w:szCs w:val="24"/>
          <w:lang w:eastAsia="hi-IN" w:bidi="hi-IN"/>
        </w:rPr>
        <w:t xml:space="preserve">en </w:t>
      </w:r>
      <w:r w:rsidR="007804B7">
        <w:rPr>
          <w:rFonts w:ascii="Century Gothic" w:eastAsia="Lucida Sans Unicode" w:hAnsi="Century Gothic" w:cs="Arial"/>
          <w:bCs/>
          <w:kern w:val="1"/>
          <w:sz w:val="24"/>
          <w:szCs w:val="24"/>
          <w:lang w:eastAsia="hi-IN" w:bidi="hi-IN"/>
        </w:rPr>
        <w:t xml:space="preserve">lo dispuesto en </w:t>
      </w:r>
      <w:r w:rsidR="007804B7" w:rsidRPr="00042471">
        <w:rPr>
          <w:rFonts w:ascii="Century Gothic" w:eastAsia="Lucida Sans Unicode" w:hAnsi="Century Gothic" w:cs="Arial"/>
          <w:bCs/>
          <w:kern w:val="1"/>
          <w:sz w:val="24"/>
          <w:szCs w:val="24"/>
          <w:lang w:eastAsia="hi-IN" w:bidi="hi-IN"/>
        </w:rPr>
        <w:t>la fracción I del artículo 35 de la Constitució</w:t>
      </w:r>
      <w:bookmarkStart w:id="0" w:name="_GoBack"/>
      <w:bookmarkEnd w:id="0"/>
      <w:r w:rsidR="007804B7" w:rsidRPr="00042471">
        <w:rPr>
          <w:rFonts w:ascii="Century Gothic" w:eastAsia="Lucida Sans Unicode" w:hAnsi="Century Gothic" w:cs="Arial"/>
          <w:bCs/>
          <w:kern w:val="1"/>
          <w:sz w:val="24"/>
          <w:szCs w:val="24"/>
          <w:lang w:eastAsia="hi-IN" w:bidi="hi-IN"/>
        </w:rPr>
        <w:t xml:space="preserve">n Política; </w:t>
      </w:r>
      <w:r w:rsidR="00624C31">
        <w:rPr>
          <w:rFonts w:ascii="Century Gothic" w:eastAsia="Lucida Sans Unicode" w:hAnsi="Century Gothic" w:cs="Arial"/>
          <w:bCs/>
          <w:kern w:val="1"/>
          <w:sz w:val="24"/>
          <w:szCs w:val="24"/>
          <w:lang w:eastAsia="hi-IN" w:bidi="hi-IN"/>
        </w:rPr>
        <w:t xml:space="preserve">los </w:t>
      </w:r>
      <w:r w:rsidR="007804B7" w:rsidRPr="00042471">
        <w:rPr>
          <w:rFonts w:ascii="Century Gothic" w:eastAsia="Lucida Sans Unicode" w:hAnsi="Century Gothic" w:cs="Arial"/>
          <w:bCs/>
          <w:kern w:val="1"/>
          <w:sz w:val="24"/>
          <w:szCs w:val="24"/>
          <w:lang w:eastAsia="hi-IN" w:bidi="hi-IN"/>
        </w:rPr>
        <w:t>artículo</w:t>
      </w:r>
      <w:r w:rsidR="00624C31">
        <w:rPr>
          <w:rFonts w:ascii="Century Gothic" w:eastAsia="Lucida Sans Unicode" w:hAnsi="Century Gothic" w:cs="Arial"/>
          <w:bCs/>
          <w:kern w:val="1"/>
          <w:sz w:val="24"/>
          <w:szCs w:val="24"/>
          <w:lang w:eastAsia="hi-IN" w:bidi="hi-IN"/>
        </w:rPr>
        <w:t>s</w:t>
      </w:r>
      <w:r w:rsidR="007804B7" w:rsidRPr="00042471">
        <w:rPr>
          <w:rFonts w:ascii="Century Gothic" w:eastAsia="Lucida Sans Unicode" w:hAnsi="Century Gothic" w:cs="Arial"/>
          <w:bCs/>
          <w:kern w:val="1"/>
          <w:sz w:val="24"/>
          <w:szCs w:val="24"/>
          <w:lang w:eastAsia="hi-IN" w:bidi="hi-IN"/>
        </w:rPr>
        <w:t xml:space="preserve"> 16 y </w:t>
      </w:r>
      <w:r w:rsidR="00624C31" w:rsidRPr="00042471">
        <w:rPr>
          <w:rFonts w:ascii="Century Gothic" w:eastAsia="Lucida Sans Unicode" w:hAnsi="Century Gothic" w:cs="Arial"/>
          <w:bCs/>
          <w:kern w:val="1"/>
          <w:sz w:val="24"/>
          <w:szCs w:val="24"/>
          <w:lang w:eastAsia="hi-IN" w:bidi="hi-IN"/>
        </w:rPr>
        <w:t xml:space="preserve">22 </w:t>
      </w:r>
      <w:r w:rsidR="007804B7" w:rsidRPr="00042471">
        <w:rPr>
          <w:rFonts w:ascii="Century Gothic" w:eastAsia="Lucida Sans Unicode" w:hAnsi="Century Gothic" w:cs="Arial"/>
          <w:bCs/>
          <w:kern w:val="1"/>
          <w:sz w:val="24"/>
          <w:szCs w:val="24"/>
          <w:lang w:eastAsia="hi-IN" w:bidi="hi-IN"/>
        </w:rPr>
        <w:t>fracción VI</w:t>
      </w:r>
      <w:r w:rsidR="00624C31">
        <w:rPr>
          <w:rFonts w:ascii="Century Gothic" w:eastAsia="Lucida Sans Unicode" w:hAnsi="Century Gothic" w:cs="Arial"/>
          <w:bCs/>
          <w:kern w:val="1"/>
          <w:sz w:val="24"/>
          <w:szCs w:val="24"/>
          <w:lang w:eastAsia="hi-IN" w:bidi="hi-IN"/>
        </w:rPr>
        <w:t xml:space="preserve"> </w:t>
      </w:r>
      <w:r w:rsidR="007804B7" w:rsidRPr="00042471">
        <w:rPr>
          <w:rFonts w:ascii="Century Gothic" w:eastAsia="Lucida Sans Unicode" w:hAnsi="Century Gothic" w:cs="Arial"/>
          <w:bCs/>
          <w:kern w:val="1"/>
          <w:sz w:val="24"/>
          <w:szCs w:val="24"/>
          <w:lang w:eastAsia="hi-IN" w:bidi="hi-IN"/>
        </w:rPr>
        <w:t>de la Ley de Gobierno del Poder Legislativo, así como los artículos 68 y 69 del Reglamento de la Ley de Gobierno del Poder Legislativo, todos del Estado de Yucatán, someto a consideración de esta Honorable Asamblea la presente iniciativa con proyecto de decreto por el que se</w:t>
      </w:r>
      <w:r w:rsidR="007804B7" w:rsidRPr="00042471">
        <w:rPr>
          <w:rFonts w:ascii="Century Gothic" w:hAnsi="Century Gothic" w:cs="Arial"/>
          <w:b/>
          <w:sz w:val="24"/>
          <w:szCs w:val="24"/>
        </w:rPr>
        <w:t xml:space="preserve"> Declara al Teatro Regional</w:t>
      </w:r>
      <w:r w:rsidR="001E3415">
        <w:rPr>
          <w:rFonts w:ascii="Century Gothic" w:hAnsi="Century Gothic" w:cs="Arial"/>
          <w:b/>
          <w:sz w:val="24"/>
          <w:szCs w:val="24"/>
        </w:rPr>
        <w:t xml:space="preserve"> Yucateco</w:t>
      </w:r>
      <w:r w:rsidR="007804B7" w:rsidRPr="00042471">
        <w:rPr>
          <w:rFonts w:ascii="Century Gothic" w:hAnsi="Century Gothic" w:cs="Arial"/>
          <w:b/>
          <w:sz w:val="24"/>
          <w:szCs w:val="24"/>
        </w:rPr>
        <w:t xml:space="preserve"> </w:t>
      </w:r>
      <w:r w:rsidR="007804B7" w:rsidRPr="00042471">
        <w:rPr>
          <w:rStyle w:val="FontStyle12"/>
          <w:rFonts w:ascii="Century Gothic" w:hAnsi="Century Gothic"/>
          <w:sz w:val="24"/>
          <w:szCs w:val="24"/>
          <w:lang w:val="es-ES_tradnl" w:eastAsia="es-ES_tradnl"/>
        </w:rPr>
        <w:t xml:space="preserve">Patrimonio Cultural Intangible </w:t>
      </w:r>
      <w:r>
        <w:rPr>
          <w:rStyle w:val="FontStyle12"/>
          <w:rFonts w:ascii="Century Gothic" w:hAnsi="Century Gothic"/>
          <w:sz w:val="24"/>
          <w:szCs w:val="24"/>
          <w:lang w:val="es-ES_tradnl" w:eastAsia="es-ES_tradnl"/>
        </w:rPr>
        <w:t>del</w:t>
      </w:r>
      <w:r w:rsidR="007804B7" w:rsidRPr="00042471">
        <w:rPr>
          <w:rStyle w:val="FontStyle12"/>
          <w:rFonts w:ascii="Century Gothic" w:hAnsi="Century Gothic"/>
          <w:sz w:val="24"/>
          <w:szCs w:val="24"/>
          <w:lang w:val="es-ES_tradnl" w:eastAsia="es-ES_tradnl"/>
        </w:rPr>
        <w:t xml:space="preserve"> Estado de Yucatán</w:t>
      </w:r>
      <w:r w:rsidR="007804B7" w:rsidRPr="00042471">
        <w:rPr>
          <w:rFonts w:ascii="Century Gothic" w:hAnsi="Century Gothic" w:cs="Arial"/>
          <w:sz w:val="24"/>
          <w:szCs w:val="24"/>
        </w:rPr>
        <w:t xml:space="preserve">, </w:t>
      </w:r>
      <w:r w:rsidR="007804B7" w:rsidRPr="00042471">
        <w:rPr>
          <w:rFonts w:ascii="Century Gothic" w:eastAsia="Lucida Sans Unicode" w:hAnsi="Century Gothic" w:cs="Arial"/>
          <w:bCs/>
          <w:kern w:val="1"/>
          <w:sz w:val="24"/>
          <w:szCs w:val="24"/>
          <w:lang w:eastAsia="hi-IN" w:bidi="hi-IN"/>
        </w:rPr>
        <w:t>con base en la siguiente</w:t>
      </w:r>
    </w:p>
    <w:p w14:paraId="6A26FFC6" w14:textId="77777777" w:rsidR="007804B7" w:rsidRPr="00042471" w:rsidRDefault="007804B7" w:rsidP="007804B7">
      <w:pPr>
        <w:jc w:val="both"/>
        <w:rPr>
          <w:rFonts w:ascii="Century Gothic" w:eastAsia="Lucida Sans Unicode" w:hAnsi="Century Gothic" w:cs="Arial"/>
          <w:bCs/>
          <w:kern w:val="1"/>
          <w:sz w:val="24"/>
          <w:szCs w:val="24"/>
          <w:lang w:eastAsia="hi-IN" w:bidi="hi-IN"/>
        </w:rPr>
      </w:pPr>
    </w:p>
    <w:p w14:paraId="752F38A7" w14:textId="1867438E" w:rsidR="007804B7" w:rsidRPr="007804B7" w:rsidRDefault="00624C31" w:rsidP="007804B7">
      <w:pPr>
        <w:jc w:val="center"/>
        <w:rPr>
          <w:rFonts w:ascii="Century Gothic" w:hAnsi="Century Gothic"/>
          <w:b/>
          <w:sz w:val="24"/>
          <w:szCs w:val="24"/>
        </w:rPr>
      </w:pPr>
      <w:r w:rsidRPr="007804B7">
        <w:rPr>
          <w:rFonts w:ascii="Century Gothic" w:eastAsia="Lucida Sans Unicode" w:hAnsi="Century Gothic" w:cs="Arial"/>
          <w:b/>
          <w:kern w:val="1"/>
          <w:sz w:val="24"/>
          <w:szCs w:val="24"/>
          <w:lang w:eastAsia="hi-IN" w:bidi="hi-IN"/>
        </w:rPr>
        <w:t>EXPOSICIÓN DE MOTIVOS:</w:t>
      </w:r>
    </w:p>
    <w:p w14:paraId="2F9D43D3" w14:textId="037C5EBD" w:rsidR="007804B7" w:rsidRPr="00435B32" w:rsidRDefault="007804B7" w:rsidP="007804B7">
      <w:pPr>
        <w:jc w:val="both"/>
        <w:rPr>
          <w:rFonts w:ascii="Century Gothic" w:hAnsi="Century Gothic"/>
          <w:sz w:val="24"/>
          <w:szCs w:val="24"/>
        </w:rPr>
      </w:pPr>
      <w:r w:rsidRPr="00435B32">
        <w:rPr>
          <w:rFonts w:ascii="Century Gothic" w:hAnsi="Century Gothic"/>
          <w:sz w:val="24"/>
          <w:szCs w:val="24"/>
        </w:rPr>
        <w:t>El conjunto de bienes pertenecientes a una persona física o moral</w:t>
      </w:r>
      <w:r w:rsidR="00F16CCB">
        <w:rPr>
          <w:rFonts w:ascii="Century Gothic" w:hAnsi="Century Gothic"/>
          <w:sz w:val="24"/>
          <w:szCs w:val="24"/>
        </w:rPr>
        <w:t>,</w:t>
      </w:r>
      <w:r w:rsidRPr="00435B32">
        <w:rPr>
          <w:rFonts w:ascii="Century Gothic" w:hAnsi="Century Gothic"/>
          <w:sz w:val="24"/>
          <w:szCs w:val="24"/>
        </w:rPr>
        <w:t xml:space="preserve"> o afectos a un fin, susceptibles de alguna estimación, se define de manera general como Patrimonio</w:t>
      </w:r>
      <w:r>
        <w:rPr>
          <w:rStyle w:val="Refdenotaalpie"/>
          <w:rFonts w:ascii="Century Gothic" w:hAnsi="Century Gothic"/>
          <w:sz w:val="24"/>
          <w:szCs w:val="24"/>
        </w:rPr>
        <w:footnoteReference w:id="1"/>
      </w:r>
      <w:r>
        <w:rPr>
          <w:rFonts w:ascii="Century Gothic" w:hAnsi="Century Gothic"/>
          <w:sz w:val="24"/>
          <w:szCs w:val="24"/>
        </w:rPr>
        <w:t xml:space="preserve">. </w:t>
      </w:r>
      <w:r w:rsidRPr="00435B32">
        <w:rPr>
          <w:rFonts w:ascii="Century Gothic" w:hAnsi="Century Gothic"/>
          <w:sz w:val="24"/>
          <w:szCs w:val="24"/>
        </w:rPr>
        <w:t>No obstante, es factible afirmar que existen elementos y factores de especial importancia, que no tienen materialidad factual pero sí generan un impacto y trascendencia en la cultura o en alguna colectividad social indeterminada.</w:t>
      </w:r>
    </w:p>
    <w:p w14:paraId="3F3FB185" w14:textId="6D43B2C3" w:rsidR="007804B7" w:rsidRPr="00435B32" w:rsidRDefault="00F16CCB" w:rsidP="007804B7">
      <w:pPr>
        <w:jc w:val="both"/>
        <w:rPr>
          <w:rFonts w:ascii="Century Gothic" w:hAnsi="Century Gothic"/>
          <w:sz w:val="24"/>
          <w:szCs w:val="24"/>
        </w:rPr>
      </w:pPr>
      <w:r>
        <w:rPr>
          <w:rFonts w:ascii="Century Gothic" w:hAnsi="Century Gothic"/>
          <w:sz w:val="24"/>
          <w:szCs w:val="24"/>
        </w:rPr>
        <w:t>De acuerdo con</w:t>
      </w:r>
      <w:r w:rsidR="007804B7" w:rsidRPr="00435B32">
        <w:rPr>
          <w:rFonts w:ascii="Century Gothic" w:hAnsi="Century Gothic"/>
          <w:sz w:val="24"/>
          <w:szCs w:val="24"/>
        </w:rPr>
        <w:t xml:space="preserve"> la Organización de las Naciones Unidas para la Educación, la Ciencia y la Cultura (UNESCO), </w:t>
      </w:r>
      <w:r>
        <w:rPr>
          <w:rFonts w:ascii="Century Gothic" w:hAnsi="Century Gothic"/>
          <w:sz w:val="24"/>
          <w:szCs w:val="24"/>
        </w:rPr>
        <w:t>existen diferentes elementos</w:t>
      </w:r>
      <w:r w:rsidR="007804B7" w:rsidRPr="00435B32">
        <w:rPr>
          <w:rFonts w:ascii="Century Gothic" w:hAnsi="Century Gothic"/>
          <w:sz w:val="24"/>
          <w:szCs w:val="24"/>
        </w:rPr>
        <w:t xml:space="preserve"> </w:t>
      </w:r>
      <w:r>
        <w:rPr>
          <w:rFonts w:ascii="Century Gothic" w:hAnsi="Century Gothic"/>
          <w:sz w:val="24"/>
          <w:szCs w:val="24"/>
        </w:rPr>
        <w:t>cuya importancia implica un deber de preservación</w:t>
      </w:r>
      <w:r w:rsidR="007804B7" w:rsidRPr="00435B32">
        <w:rPr>
          <w:rFonts w:ascii="Century Gothic" w:hAnsi="Century Gothic"/>
          <w:sz w:val="24"/>
          <w:szCs w:val="24"/>
        </w:rPr>
        <w:t xml:space="preserve"> para las generaciones futuras. Pueden tratarse de objetos</w:t>
      </w:r>
      <w:r>
        <w:rPr>
          <w:rFonts w:ascii="Century Gothic" w:hAnsi="Century Gothic"/>
          <w:sz w:val="24"/>
          <w:szCs w:val="24"/>
        </w:rPr>
        <w:t>,</w:t>
      </w:r>
      <w:r w:rsidR="007804B7" w:rsidRPr="00435B32">
        <w:rPr>
          <w:rFonts w:ascii="Century Gothic" w:hAnsi="Century Gothic"/>
          <w:sz w:val="24"/>
          <w:szCs w:val="24"/>
        </w:rPr>
        <w:t xml:space="preserve"> edificios, canciones o relatos. Su importancia puede deberse al valor económico actual o potencial pero también a que provocan una cierta emoción o hacen sentir que se pertenece a algo</w:t>
      </w:r>
      <w:r>
        <w:rPr>
          <w:rFonts w:ascii="Century Gothic" w:hAnsi="Century Gothic"/>
          <w:sz w:val="24"/>
          <w:szCs w:val="24"/>
        </w:rPr>
        <w:t>:</w:t>
      </w:r>
      <w:r w:rsidR="007804B7" w:rsidRPr="00435B32">
        <w:rPr>
          <w:rFonts w:ascii="Century Gothic" w:hAnsi="Century Gothic"/>
          <w:sz w:val="24"/>
          <w:szCs w:val="24"/>
        </w:rPr>
        <w:t xml:space="preserve"> un país, una</w:t>
      </w:r>
      <w:r w:rsidR="007804B7">
        <w:rPr>
          <w:rFonts w:ascii="Century Gothic" w:hAnsi="Century Gothic"/>
          <w:sz w:val="24"/>
          <w:szCs w:val="24"/>
        </w:rPr>
        <w:t xml:space="preserve"> tradición o un modo de vida</w:t>
      </w:r>
      <w:r w:rsidR="007804B7">
        <w:rPr>
          <w:rStyle w:val="Refdenotaalpie"/>
          <w:rFonts w:ascii="Century Gothic" w:hAnsi="Century Gothic"/>
          <w:sz w:val="24"/>
          <w:szCs w:val="24"/>
        </w:rPr>
        <w:footnoteReference w:id="2"/>
      </w:r>
      <w:r w:rsidR="007804B7">
        <w:rPr>
          <w:rFonts w:ascii="Century Gothic" w:hAnsi="Century Gothic"/>
          <w:sz w:val="24"/>
          <w:szCs w:val="24"/>
        </w:rPr>
        <w:t>.</w:t>
      </w:r>
    </w:p>
    <w:p w14:paraId="098A1A2E" w14:textId="4828E63F" w:rsidR="007804B7" w:rsidRPr="00435B32" w:rsidRDefault="007804B7" w:rsidP="007804B7">
      <w:pPr>
        <w:jc w:val="both"/>
        <w:rPr>
          <w:rFonts w:ascii="Century Gothic" w:hAnsi="Century Gothic"/>
          <w:sz w:val="24"/>
          <w:szCs w:val="24"/>
        </w:rPr>
      </w:pPr>
      <w:r w:rsidRPr="00435B32">
        <w:rPr>
          <w:rFonts w:ascii="Century Gothic" w:hAnsi="Century Gothic"/>
          <w:sz w:val="24"/>
          <w:szCs w:val="24"/>
        </w:rPr>
        <w:t xml:space="preserve">En ese contexto, el patrimonio cultural ya no se limita a monumentos y colecciones de objetos, sino que además comprende tradiciones o </w:t>
      </w:r>
      <w:r w:rsidRPr="00435B32">
        <w:rPr>
          <w:rFonts w:ascii="Century Gothic" w:hAnsi="Century Gothic"/>
          <w:sz w:val="24"/>
          <w:szCs w:val="24"/>
        </w:rPr>
        <w:lastRenderedPageBreak/>
        <w:t>expresiones vivas, heredadas de nuestros antepasados y transmitidas a las generaciones descendientes</w:t>
      </w:r>
      <w:r w:rsidR="009D11E1">
        <w:rPr>
          <w:rFonts w:ascii="Century Gothic" w:hAnsi="Century Gothic"/>
          <w:sz w:val="24"/>
          <w:szCs w:val="24"/>
        </w:rPr>
        <w:t xml:space="preserve"> tales</w:t>
      </w:r>
      <w:r w:rsidRPr="00435B32">
        <w:rPr>
          <w:rFonts w:ascii="Century Gothic" w:hAnsi="Century Gothic"/>
          <w:sz w:val="24"/>
          <w:szCs w:val="24"/>
        </w:rPr>
        <w:t xml:space="preserve"> como tradiciones, artes del espectáculo, usos sociales, rituales, actos festivos, conocimientos y prácticas relativas a la naturaleza y el universo tal como lo señala la UNESCO</w:t>
      </w:r>
      <w:r>
        <w:rPr>
          <w:rStyle w:val="Refdenotaalpie"/>
          <w:rFonts w:ascii="Century Gothic" w:hAnsi="Century Gothic"/>
          <w:sz w:val="24"/>
          <w:szCs w:val="24"/>
        </w:rPr>
        <w:footnoteReference w:id="3"/>
      </w:r>
      <w:r>
        <w:rPr>
          <w:rFonts w:ascii="Century Gothic" w:hAnsi="Century Gothic"/>
          <w:sz w:val="24"/>
          <w:szCs w:val="24"/>
        </w:rPr>
        <w:t>.</w:t>
      </w:r>
    </w:p>
    <w:p w14:paraId="121B088B" w14:textId="77777777" w:rsidR="007804B7" w:rsidRPr="00435B32" w:rsidRDefault="007804B7" w:rsidP="007804B7">
      <w:pPr>
        <w:jc w:val="both"/>
        <w:rPr>
          <w:rFonts w:ascii="Century Gothic" w:hAnsi="Century Gothic"/>
          <w:sz w:val="24"/>
          <w:szCs w:val="24"/>
        </w:rPr>
      </w:pPr>
      <w:r w:rsidRPr="00435B32">
        <w:rPr>
          <w:rFonts w:ascii="Century Gothic" w:hAnsi="Century Gothic"/>
          <w:sz w:val="24"/>
          <w:szCs w:val="24"/>
        </w:rPr>
        <w:t>Nuestro Estado es poseedor de una vasta riqueza cultural, por lo cual existen muchos elementos susceptibles de ser protegidos ante los cambios de la modernidad y el avance de nuevas culturas y costumbres, sin embargo, de todas ellas, existe una que ha permanecido incólume en el transcurso de los años y que tiene una particularidad, nos demuestra la genuinidad del alma yucateca en la hermosa expresión escénica, llevando todos los eslabones de su cultura cada vez que se sube un telón, sin duda hablamos del Teatro Regional Yucateco.</w:t>
      </w:r>
    </w:p>
    <w:p w14:paraId="322367F5" w14:textId="4FD1BF1F" w:rsidR="007804B7" w:rsidRPr="00435B32" w:rsidRDefault="009D11E1" w:rsidP="007804B7">
      <w:pPr>
        <w:jc w:val="both"/>
        <w:rPr>
          <w:rFonts w:ascii="Century Gothic" w:hAnsi="Century Gothic"/>
          <w:sz w:val="24"/>
          <w:szCs w:val="24"/>
        </w:rPr>
      </w:pPr>
      <w:r>
        <w:rPr>
          <w:rFonts w:ascii="Century Gothic" w:hAnsi="Century Gothic"/>
          <w:sz w:val="24"/>
          <w:szCs w:val="24"/>
        </w:rPr>
        <w:t>D</w:t>
      </w:r>
      <w:r w:rsidR="007804B7" w:rsidRPr="00435B32">
        <w:rPr>
          <w:rFonts w:ascii="Century Gothic" w:hAnsi="Century Gothic"/>
          <w:sz w:val="24"/>
          <w:szCs w:val="24"/>
        </w:rPr>
        <w:t xml:space="preserve">esde principios de 1900 ha sido la expresión escénica que </w:t>
      </w:r>
      <w:r>
        <w:rPr>
          <w:rFonts w:ascii="Century Gothic" w:hAnsi="Century Gothic"/>
          <w:sz w:val="24"/>
          <w:szCs w:val="24"/>
        </w:rPr>
        <w:t>representa la</w:t>
      </w:r>
      <w:r w:rsidR="007804B7" w:rsidRPr="00435B32">
        <w:rPr>
          <w:rFonts w:ascii="Century Gothic" w:hAnsi="Century Gothic"/>
          <w:sz w:val="24"/>
          <w:szCs w:val="24"/>
        </w:rPr>
        <w:t xml:space="preserve"> voz </w:t>
      </w:r>
      <w:r>
        <w:rPr>
          <w:rFonts w:ascii="Century Gothic" w:hAnsi="Century Gothic"/>
          <w:sz w:val="24"/>
          <w:szCs w:val="24"/>
        </w:rPr>
        <w:t>del</w:t>
      </w:r>
      <w:r w:rsidR="007804B7" w:rsidRPr="00435B32">
        <w:rPr>
          <w:rFonts w:ascii="Century Gothic" w:hAnsi="Century Gothic"/>
          <w:sz w:val="24"/>
          <w:szCs w:val="24"/>
        </w:rPr>
        <w:t xml:space="preserve"> pueblo, ya que su origen lo tiene en el Teatro de Zarsuela y de Opereta, siendo la sátira uno de los elementos que lleva la corriente sanguínea de este género escénico, en el cuál a través de sus diferentes formatos </w:t>
      </w:r>
      <w:r>
        <w:rPr>
          <w:rFonts w:ascii="Century Gothic" w:hAnsi="Century Gothic"/>
          <w:sz w:val="24"/>
          <w:szCs w:val="24"/>
        </w:rPr>
        <w:t>t</w:t>
      </w:r>
      <w:r w:rsidR="007804B7" w:rsidRPr="00435B32">
        <w:rPr>
          <w:rFonts w:ascii="Century Gothic" w:hAnsi="Century Gothic"/>
          <w:sz w:val="24"/>
          <w:szCs w:val="24"/>
        </w:rPr>
        <w:t xml:space="preserve">eatrales, logra tomar gusto en el público porque ve reflejado en él su identidad y lo que muchas veces no se atreven a decir, ya que la crítica social toma una relevancia en el Teatro Regional al tener una influencia del Teatro Bufo Cubano. </w:t>
      </w:r>
      <w:r>
        <w:rPr>
          <w:rFonts w:ascii="Century Gothic" w:hAnsi="Century Gothic"/>
          <w:sz w:val="24"/>
          <w:szCs w:val="24"/>
        </w:rPr>
        <w:t>L</w:t>
      </w:r>
      <w:r w:rsidR="007804B7" w:rsidRPr="00435B32">
        <w:rPr>
          <w:rFonts w:ascii="Century Gothic" w:hAnsi="Century Gothic"/>
          <w:sz w:val="24"/>
          <w:szCs w:val="24"/>
        </w:rPr>
        <w:t xml:space="preserve">a existencia de esta expresión por tantos años, se debe a la adopción que ha hecho el público al sentirse representado y reflejado en cada uno de los personajes que los actores y actrices han dado vida en el escenario.      </w:t>
      </w:r>
    </w:p>
    <w:p w14:paraId="1357E2F8" w14:textId="538CA286" w:rsidR="007804B7" w:rsidRPr="00435B32" w:rsidRDefault="007804B7" w:rsidP="007804B7">
      <w:pPr>
        <w:jc w:val="both"/>
        <w:rPr>
          <w:rFonts w:ascii="Century Gothic" w:hAnsi="Century Gothic"/>
          <w:sz w:val="24"/>
          <w:szCs w:val="24"/>
        </w:rPr>
      </w:pPr>
      <w:r w:rsidRPr="00435B32">
        <w:rPr>
          <w:rFonts w:ascii="Century Gothic" w:hAnsi="Century Gothic"/>
          <w:sz w:val="24"/>
          <w:szCs w:val="24"/>
        </w:rPr>
        <w:t xml:space="preserve">Una de las particularidades del Teatro Regional, es que en él se utiliza el bagaje cultural que nos da identidad como Estado, nuestra forma de ser, nuestra manera de hablar, nuestros Huayeismos </w:t>
      </w:r>
      <w:r w:rsidR="009D11E1">
        <w:rPr>
          <w:rFonts w:ascii="Century Gothic" w:hAnsi="Century Gothic"/>
          <w:sz w:val="24"/>
          <w:szCs w:val="24"/>
        </w:rPr>
        <w:t>y</w:t>
      </w:r>
      <w:r w:rsidRPr="00435B32">
        <w:rPr>
          <w:rFonts w:ascii="Century Gothic" w:hAnsi="Century Gothic"/>
          <w:sz w:val="24"/>
          <w:szCs w:val="24"/>
        </w:rPr>
        <w:t xml:space="preserve"> el Español que se habla en Yucatán como diría el señor Espejo, así como llevar a escena los rituales ancestrales de nuestros usos y costumbres, como el Hanal Pixan, la ceremonia de HedzMek entre otras manifestaciones que son el reflejo vivo de nuestra cultura.</w:t>
      </w:r>
    </w:p>
    <w:p w14:paraId="2DAB0A14" w14:textId="77777777" w:rsidR="007804B7" w:rsidRPr="00435B32" w:rsidRDefault="007804B7" w:rsidP="007804B7">
      <w:pPr>
        <w:jc w:val="both"/>
        <w:rPr>
          <w:rFonts w:ascii="Century Gothic" w:hAnsi="Century Gothic"/>
          <w:sz w:val="24"/>
          <w:szCs w:val="24"/>
        </w:rPr>
      </w:pPr>
      <w:r w:rsidRPr="00435B32">
        <w:rPr>
          <w:rFonts w:ascii="Century Gothic" w:hAnsi="Century Gothic"/>
          <w:sz w:val="24"/>
          <w:szCs w:val="24"/>
        </w:rPr>
        <w:t xml:space="preserve">En una obra de Teatro Regional uno podrá encontrar no solo el espejo de como somos, también el fortalecimiento de los eslabones de nuestra cultura, </w:t>
      </w:r>
      <w:r w:rsidRPr="00435B32">
        <w:rPr>
          <w:rFonts w:ascii="Century Gothic" w:hAnsi="Century Gothic"/>
          <w:sz w:val="24"/>
          <w:szCs w:val="24"/>
        </w:rPr>
        <w:lastRenderedPageBreak/>
        <w:t xml:space="preserve">porque en ella podemos apreciar otra disciplinas como la trova, la jarana, nuestras fiestas y personajes populares de la sociedad que vivimos. </w:t>
      </w:r>
    </w:p>
    <w:p w14:paraId="15AE6DC5" w14:textId="00420803" w:rsidR="007804B7" w:rsidRPr="00435B32" w:rsidRDefault="007804B7" w:rsidP="007804B7">
      <w:pPr>
        <w:jc w:val="both"/>
        <w:rPr>
          <w:rFonts w:ascii="Century Gothic" w:hAnsi="Century Gothic"/>
          <w:sz w:val="24"/>
          <w:szCs w:val="24"/>
        </w:rPr>
      </w:pPr>
      <w:r w:rsidRPr="00435B32">
        <w:rPr>
          <w:rFonts w:ascii="Century Gothic" w:hAnsi="Century Gothic"/>
          <w:sz w:val="24"/>
          <w:szCs w:val="24"/>
        </w:rPr>
        <w:t xml:space="preserve">A diferencia de otros géneros escénicos, el Teatro Regional puede parecer un formato de poca demanda actoral, pero es todo lo contrario, porque en él puedes encontrar drama, tragicomedia, sátira, pieza, melodrama y sobre todo comedia. </w:t>
      </w:r>
      <w:r w:rsidR="009D11E1">
        <w:rPr>
          <w:rFonts w:ascii="Century Gothic" w:hAnsi="Century Gothic"/>
          <w:sz w:val="24"/>
          <w:szCs w:val="24"/>
        </w:rPr>
        <w:t>N</w:t>
      </w:r>
      <w:r w:rsidRPr="00435B32">
        <w:rPr>
          <w:rFonts w:ascii="Century Gothic" w:hAnsi="Century Gothic"/>
          <w:sz w:val="24"/>
          <w:szCs w:val="24"/>
        </w:rPr>
        <w:t>ace de la médula espinal, de los rincones más importantes del Estado de Yucatán donde se gesta los embriones de nuestra cultura</w:t>
      </w:r>
      <w:r w:rsidR="009D11E1">
        <w:rPr>
          <w:rFonts w:ascii="Century Gothic" w:hAnsi="Century Gothic"/>
          <w:sz w:val="24"/>
          <w:szCs w:val="24"/>
        </w:rPr>
        <w:t xml:space="preserve">; se puede encontrar </w:t>
      </w:r>
      <w:r w:rsidRPr="00435B32">
        <w:rPr>
          <w:rFonts w:ascii="Century Gothic" w:hAnsi="Century Gothic"/>
          <w:sz w:val="24"/>
          <w:szCs w:val="24"/>
        </w:rPr>
        <w:t xml:space="preserve">en un </w:t>
      </w:r>
      <w:r w:rsidR="009D11E1">
        <w:rPr>
          <w:rFonts w:ascii="Century Gothic" w:hAnsi="Century Gothic"/>
          <w:sz w:val="24"/>
          <w:szCs w:val="24"/>
        </w:rPr>
        <w:t>t</w:t>
      </w:r>
      <w:r w:rsidRPr="00435B32">
        <w:rPr>
          <w:rFonts w:ascii="Century Gothic" w:hAnsi="Century Gothic"/>
          <w:sz w:val="24"/>
          <w:szCs w:val="24"/>
        </w:rPr>
        <w:t>eatro, en un parque, en un restaurante o una plaza de un municipio, es un formato que solo necesita estar plagado de sabor a Yucatán y eslabones que fortalezcan nuestra cultura</w:t>
      </w:r>
      <w:r>
        <w:rPr>
          <w:rStyle w:val="Refdenotaalpie"/>
          <w:rFonts w:ascii="Century Gothic" w:hAnsi="Century Gothic"/>
          <w:sz w:val="24"/>
          <w:szCs w:val="24"/>
        </w:rPr>
        <w:footnoteReference w:id="4"/>
      </w:r>
      <w:r>
        <w:rPr>
          <w:rFonts w:ascii="Century Gothic" w:hAnsi="Century Gothic"/>
          <w:sz w:val="24"/>
          <w:szCs w:val="24"/>
        </w:rPr>
        <w:t>.</w:t>
      </w:r>
    </w:p>
    <w:p w14:paraId="5FB5E380" w14:textId="77777777" w:rsidR="007804B7" w:rsidRPr="00435B32" w:rsidRDefault="007804B7" w:rsidP="007804B7">
      <w:pPr>
        <w:jc w:val="both"/>
        <w:rPr>
          <w:rFonts w:ascii="Century Gothic" w:hAnsi="Century Gothic"/>
          <w:sz w:val="24"/>
          <w:szCs w:val="24"/>
        </w:rPr>
      </w:pPr>
      <w:r w:rsidRPr="00435B32">
        <w:rPr>
          <w:rFonts w:ascii="Century Gothic" w:hAnsi="Century Gothic"/>
          <w:sz w:val="24"/>
          <w:szCs w:val="24"/>
        </w:rPr>
        <w:t xml:space="preserve">Son muchos los nombres que a principios de 1900 comienzan a moldear esta forma de hacer Teatro, José Talavera, el flaco Urcelay, Chúcuru Sánchez, Chinto Méndez, Lucrecia Borges, Ofelia Zapata, Héctor Herrera Escalante, por mencionar algunos, fueron los primeros que empezaron a llevar a Yucatán a un escenario, en cada sketch, en cada obra, en cada noche donde el telón subía, y que poco a poco se iba colocando en el gusto del público, viniendo grandes plumas como la de Fernando Mediz Bolio y los arreglos musicales de Rubén Darío Herrera, dieron una época de mucho realce a esta bella expresión con obras como “ Rosario de Filigrana”, “Oro y Sosquil”, “Casita de Paja” entre otras, dejando cada vez más fuerte el arraigo de este género escénico en el gusto del público de Yucatán y de diferentes partes de la República Mexicana.   </w:t>
      </w:r>
    </w:p>
    <w:p w14:paraId="36910A7E" w14:textId="77777777" w:rsidR="006D5898" w:rsidRDefault="007804B7" w:rsidP="007804B7">
      <w:pPr>
        <w:jc w:val="both"/>
        <w:rPr>
          <w:rFonts w:ascii="Century Gothic" w:hAnsi="Century Gothic"/>
          <w:sz w:val="24"/>
          <w:szCs w:val="24"/>
        </w:rPr>
      </w:pPr>
      <w:r w:rsidRPr="00435B32">
        <w:rPr>
          <w:rFonts w:ascii="Century Gothic" w:hAnsi="Century Gothic"/>
          <w:sz w:val="24"/>
          <w:szCs w:val="24"/>
        </w:rPr>
        <w:t>En aquellos tiempos no existían las redes sociales, de tal manera que lograr una solidez en una carrera escénica no era muy sencillo, muchos de los actores que con el tiempo se fueron consagrando, tuvieron que caminar la legua en las famosas caravanas que recorrían el interior del Estado, así como las ferias más importantes de la capital Mérida como fue la de Santiago, en la cual se presentaban noche a noche para irse ganando un pedacito en el corazón y en el gusto del público que asistía a las funciones teatrales</w:t>
      </w:r>
      <w:r w:rsidR="006D5898">
        <w:rPr>
          <w:rFonts w:ascii="Century Gothic" w:hAnsi="Century Gothic"/>
          <w:sz w:val="24"/>
          <w:szCs w:val="24"/>
        </w:rPr>
        <w:t>.</w:t>
      </w:r>
      <w:r w:rsidRPr="00435B32">
        <w:rPr>
          <w:rFonts w:ascii="Century Gothic" w:hAnsi="Century Gothic"/>
          <w:sz w:val="24"/>
          <w:szCs w:val="24"/>
        </w:rPr>
        <w:t xml:space="preserve"> </w:t>
      </w:r>
    </w:p>
    <w:p w14:paraId="5FE58389" w14:textId="0B827ACD" w:rsidR="007804B7" w:rsidRPr="00435B32" w:rsidRDefault="006D5898" w:rsidP="007804B7">
      <w:pPr>
        <w:jc w:val="both"/>
        <w:rPr>
          <w:rFonts w:ascii="Century Gothic" w:hAnsi="Century Gothic"/>
          <w:sz w:val="24"/>
          <w:szCs w:val="24"/>
        </w:rPr>
      </w:pPr>
      <w:r>
        <w:rPr>
          <w:rFonts w:ascii="Century Gothic" w:hAnsi="Century Gothic"/>
          <w:sz w:val="24"/>
          <w:szCs w:val="24"/>
        </w:rPr>
        <w:t>H</w:t>
      </w:r>
      <w:r w:rsidR="007804B7" w:rsidRPr="00435B32">
        <w:rPr>
          <w:rFonts w:ascii="Century Gothic" w:hAnsi="Century Gothic"/>
          <w:sz w:val="24"/>
          <w:szCs w:val="24"/>
        </w:rPr>
        <w:t xml:space="preserve">oy en día la era digital ha permitido una transculturización que hace que muchos jóvenes, niños y los adultos adopten costumbres de otras partes, debilitando las propias y con ello, perdiendo la identidad que los caracteriza a través de su cultura, sin embargo se pueden generar mecanismos, así como acciones para utilizar estas herramientas que proporciona la </w:t>
      </w:r>
      <w:r w:rsidR="007804B7" w:rsidRPr="00435B32">
        <w:rPr>
          <w:rFonts w:ascii="Century Gothic" w:hAnsi="Century Gothic"/>
          <w:sz w:val="24"/>
          <w:szCs w:val="24"/>
        </w:rPr>
        <w:lastRenderedPageBreak/>
        <w:t xml:space="preserve">tecnología, para seguir expandiendo en el gusto del público el Teatro Regional y hacer que las nuevas generaciones no solo lo conozcan, si no que se interesen en él, y de esta manera seguir generando su permanencia con el tiempo y la distancia. </w:t>
      </w:r>
    </w:p>
    <w:p w14:paraId="02F3F70A" w14:textId="77777777" w:rsidR="007804B7" w:rsidRPr="00435B32" w:rsidRDefault="007804B7" w:rsidP="007804B7">
      <w:pPr>
        <w:jc w:val="both"/>
        <w:rPr>
          <w:rFonts w:ascii="Century Gothic" w:hAnsi="Century Gothic"/>
          <w:sz w:val="24"/>
          <w:szCs w:val="24"/>
        </w:rPr>
      </w:pPr>
      <w:r w:rsidRPr="00435B32">
        <w:rPr>
          <w:rFonts w:ascii="Century Gothic" w:hAnsi="Century Gothic"/>
          <w:sz w:val="24"/>
          <w:szCs w:val="24"/>
        </w:rPr>
        <w:t>A diferencia de los géneros clásicos, en el Teatro Regional, al utilizar la comedia, hay un uso permitido de la improvisación, siempre y cuando sea para enriquecer el texto que se esté llevando en el escenario, así como la utilización más rudimentaria de elementos escénicos, pero esto no es una falta de calidad, al contrario, es un acercamiento a la realidad que vive la sociedad Yucateca, porque de la misma manera puede hacerse el interior de una oficina de una empresa henequenera, una hacienda, un mercado, o el parque donde se puede desarrollar un baile popular, sin duda, el elemento más importante es que sea un espejo del acontecimiento que haya marcado un parteaguas en la comunicación diaria de la sociedad Yucateca y que pueda reflejar fielmente el alma de Yucatán.</w:t>
      </w:r>
    </w:p>
    <w:p w14:paraId="6458ED0F" w14:textId="35EF05E3" w:rsidR="007804B7" w:rsidRPr="00435B32" w:rsidRDefault="007804B7" w:rsidP="007804B7">
      <w:pPr>
        <w:jc w:val="both"/>
        <w:rPr>
          <w:rFonts w:ascii="Century Gothic" w:hAnsi="Century Gothic"/>
          <w:sz w:val="24"/>
          <w:szCs w:val="24"/>
        </w:rPr>
      </w:pPr>
      <w:r w:rsidRPr="00D17A1E">
        <w:rPr>
          <w:rFonts w:ascii="Century Gothic" w:hAnsi="Century Gothic"/>
          <w:sz w:val="24"/>
          <w:szCs w:val="24"/>
        </w:rPr>
        <w:t>Ciertas características del Teatro Regional Yucateco, es el nulo u</w:t>
      </w:r>
      <w:r w:rsidR="00D17A1E" w:rsidRPr="00D17A1E">
        <w:rPr>
          <w:rFonts w:ascii="Century Gothic" w:hAnsi="Century Gothic"/>
          <w:sz w:val="24"/>
          <w:szCs w:val="24"/>
        </w:rPr>
        <w:t>so de vocabulario soez</w:t>
      </w:r>
      <w:r w:rsidRPr="00D17A1E">
        <w:rPr>
          <w:rFonts w:ascii="Century Gothic" w:hAnsi="Century Gothic"/>
          <w:sz w:val="24"/>
          <w:szCs w:val="24"/>
        </w:rPr>
        <w:t>, esta manifestación, tiene que ser un vehículo de comunicación social y fortalecimiento de nuestra cultura, que a través de la picardía, el mensaje implícito de nuestra cultura y nuestra gente se manifieste en el escenario, y no sea un espectáculo plagado de palabras altisonantes que no tienen nada que ver con forjar, mantener y fortalecer nuestra cultura.</w:t>
      </w:r>
    </w:p>
    <w:p w14:paraId="098CA5EE" w14:textId="77777777" w:rsidR="006D5898" w:rsidRDefault="007804B7" w:rsidP="007804B7">
      <w:pPr>
        <w:jc w:val="both"/>
        <w:rPr>
          <w:rFonts w:ascii="Century Gothic" w:hAnsi="Century Gothic"/>
          <w:sz w:val="24"/>
          <w:szCs w:val="24"/>
        </w:rPr>
      </w:pPr>
      <w:r w:rsidRPr="00435B32">
        <w:rPr>
          <w:rFonts w:ascii="Century Gothic" w:hAnsi="Century Gothic"/>
          <w:sz w:val="24"/>
          <w:szCs w:val="24"/>
        </w:rPr>
        <w:t xml:space="preserve">El Teatro Regional puede expresarse en diferentes manifestaciones, pero toda muestra </w:t>
      </w:r>
      <w:r w:rsidR="006D5898">
        <w:rPr>
          <w:rFonts w:ascii="Century Gothic" w:hAnsi="Century Gothic"/>
          <w:sz w:val="24"/>
          <w:szCs w:val="24"/>
        </w:rPr>
        <w:t>lleva implícitos</w:t>
      </w:r>
      <w:r w:rsidRPr="00435B32">
        <w:rPr>
          <w:rFonts w:ascii="Century Gothic" w:hAnsi="Century Gothic"/>
          <w:sz w:val="24"/>
          <w:szCs w:val="24"/>
        </w:rPr>
        <w:t xml:space="preserve"> elementos escénicos y literarios que foment</w:t>
      </w:r>
      <w:r w:rsidR="006D5898">
        <w:rPr>
          <w:rFonts w:ascii="Century Gothic" w:hAnsi="Century Gothic"/>
          <w:sz w:val="24"/>
          <w:szCs w:val="24"/>
        </w:rPr>
        <w:t>a</w:t>
      </w:r>
      <w:r w:rsidRPr="00435B32">
        <w:rPr>
          <w:rFonts w:ascii="Century Gothic" w:hAnsi="Century Gothic"/>
          <w:sz w:val="24"/>
          <w:szCs w:val="24"/>
        </w:rPr>
        <w:t xml:space="preserve">n el tejido cultural del Estado. Puede representarse en cualquier formato como drama, comedia, tragicomedia, sátira, pieza, así como los formatos de obra, sketch, pasa calle, monólogos, musicales o parodias. </w:t>
      </w:r>
    </w:p>
    <w:p w14:paraId="428B3BA8" w14:textId="701FA869" w:rsidR="007804B7" w:rsidRPr="00435B32" w:rsidRDefault="007804B7" w:rsidP="007804B7">
      <w:pPr>
        <w:jc w:val="both"/>
        <w:rPr>
          <w:rFonts w:ascii="Century Gothic" w:hAnsi="Century Gothic"/>
          <w:sz w:val="24"/>
          <w:szCs w:val="24"/>
        </w:rPr>
      </w:pPr>
      <w:r w:rsidRPr="00435B32">
        <w:rPr>
          <w:rFonts w:ascii="Century Gothic" w:hAnsi="Century Gothic"/>
          <w:sz w:val="24"/>
          <w:szCs w:val="24"/>
        </w:rPr>
        <w:t>El Teatro Regional se puede representar con actores, títeres, o cualquier elemento escénico, siempre y cuando se respeten los puntos mencionados anteriormente, siendo conciso, que es un vehículo de fortalecimiento cultural y que sirva como puente de unión para la convivencia de una familia en el marco de una obra familiar.</w:t>
      </w:r>
    </w:p>
    <w:p w14:paraId="727C7964" w14:textId="6F5AEE5A" w:rsidR="007804B7" w:rsidRPr="00435B32" w:rsidRDefault="006D5898" w:rsidP="007804B7">
      <w:pPr>
        <w:jc w:val="both"/>
        <w:rPr>
          <w:rFonts w:ascii="Century Gothic" w:hAnsi="Century Gothic"/>
          <w:sz w:val="24"/>
          <w:szCs w:val="24"/>
        </w:rPr>
      </w:pPr>
      <w:r>
        <w:rPr>
          <w:rFonts w:ascii="Century Gothic" w:hAnsi="Century Gothic"/>
          <w:sz w:val="24"/>
          <w:szCs w:val="24"/>
        </w:rPr>
        <w:t>En vista de las aportaciones con las que beneficia el Teatro Regional Yucateco a nuestro Estado</w:t>
      </w:r>
      <w:r w:rsidR="007804B7" w:rsidRPr="00435B32">
        <w:rPr>
          <w:rFonts w:ascii="Century Gothic" w:hAnsi="Century Gothic"/>
          <w:sz w:val="24"/>
          <w:szCs w:val="24"/>
        </w:rPr>
        <w:t>,</w:t>
      </w:r>
      <w:r>
        <w:rPr>
          <w:rFonts w:ascii="Century Gothic" w:hAnsi="Century Gothic"/>
          <w:sz w:val="24"/>
          <w:szCs w:val="24"/>
        </w:rPr>
        <w:t xml:space="preserve"> es indispensable considerarlo como</w:t>
      </w:r>
      <w:r w:rsidR="007804B7" w:rsidRPr="00435B32">
        <w:rPr>
          <w:rFonts w:ascii="Century Gothic" w:hAnsi="Century Gothic"/>
          <w:sz w:val="24"/>
          <w:szCs w:val="24"/>
        </w:rPr>
        <w:t xml:space="preserve"> patrimonio intangible de la cultura, para que de esta manera se puedan realizar más </w:t>
      </w:r>
      <w:r w:rsidR="007804B7" w:rsidRPr="00435B32">
        <w:rPr>
          <w:rFonts w:ascii="Century Gothic" w:hAnsi="Century Gothic"/>
          <w:sz w:val="24"/>
          <w:szCs w:val="24"/>
        </w:rPr>
        <w:lastRenderedPageBreak/>
        <w:t>acciones en pro de nuestra identidad y nuestra cultura</w:t>
      </w:r>
      <w:r>
        <w:rPr>
          <w:rFonts w:ascii="Century Gothic" w:hAnsi="Century Gothic"/>
          <w:sz w:val="24"/>
          <w:szCs w:val="24"/>
        </w:rPr>
        <w:t>.</w:t>
      </w:r>
      <w:r w:rsidR="007804B7" w:rsidRPr="00435B32">
        <w:rPr>
          <w:rFonts w:ascii="Century Gothic" w:hAnsi="Century Gothic"/>
          <w:sz w:val="24"/>
          <w:szCs w:val="24"/>
        </w:rPr>
        <w:t xml:space="preserve"> </w:t>
      </w:r>
      <w:r>
        <w:rPr>
          <w:rFonts w:ascii="Century Gothic" w:hAnsi="Century Gothic"/>
          <w:sz w:val="24"/>
          <w:szCs w:val="24"/>
        </w:rPr>
        <w:t>Actualmente</w:t>
      </w:r>
      <w:r w:rsidR="007804B7" w:rsidRPr="00435B32">
        <w:rPr>
          <w:rFonts w:ascii="Century Gothic" w:hAnsi="Century Gothic"/>
          <w:sz w:val="24"/>
          <w:szCs w:val="24"/>
        </w:rPr>
        <w:t xml:space="preserve"> vivimos en un Estado que crece a pasos</w:t>
      </w:r>
      <w:r>
        <w:rPr>
          <w:rFonts w:ascii="Century Gothic" w:hAnsi="Century Gothic"/>
          <w:sz w:val="24"/>
          <w:szCs w:val="24"/>
        </w:rPr>
        <w:t xml:space="preserve"> agigantados</w:t>
      </w:r>
      <w:r w:rsidR="007804B7" w:rsidRPr="00435B32">
        <w:rPr>
          <w:rFonts w:ascii="Century Gothic" w:hAnsi="Century Gothic"/>
          <w:sz w:val="24"/>
          <w:szCs w:val="24"/>
        </w:rPr>
        <w:t xml:space="preserve"> hacia la modernidad, y donde no solo la influencia extranjera nos embiste, </w:t>
      </w:r>
      <w:r>
        <w:rPr>
          <w:rFonts w:ascii="Century Gothic" w:hAnsi="Century Gothic"/>
          <w:sz w:val="24"/>
          <w:szCs w:val="24"/>
        </w:rPr>
        <w:t xml:space="preserve">sino, </w:t>
      </w:r>
      <w:r w:rsidR="007804B7" w:rsidRPr="00435B32">
        <w:rPr>
          <w:rFonts w:ascii="Century Gothic" w:hAnsi="Century Gothic"/>
          <w:sz w:val="24"/>
          <w:szCs w:val="24"/>
        </w:rPr>
        <w:t xml:space="preserve">también </w:t>
      </w:r>
      <w:r>
        <w:rPr>
          <w:rFonts w:ascii="Century Gothic" w:hAnsi="Century Gothic"/>
          <w:sz w:val="24"/>
          <w:szCs w:val="24"/>
        </w:rPr>
        <w:t xml:space="preserve">ante </w:t>
      </w:r>
      <w:r w:rsidR="007804B7" w:rsidRPr="00435B32">
        <w:rPr>
          <w:rFonts w:ascii="Century Gothic" w:hAnsi="Century Gothic"/>
          <w:sz w:val="24"/>
          <w:szCs w:val="24"/>
        </w:rPr>
        <w:t>la llegada de mucha gente de fuera que desconoce el hermoso bagaje de nuestra entidad, por eso es necesario generar mecanismos y puentes de difusión para poder acercar esta muestra latente de nuestra identidad como yucatecos por nacimiento o por adopción</w:t>
      </w:r>
      <w:r>
        <w:rPr>
          <w:rFonts w:ascii="Century Gothic" w:hAnsi="Century Gothic"/>
          <w:sz w:val="24"/>
          <w:szCs w:val="24"/>
        </w:rPr>
        <w:t>.</w:t>
      </w:r>
      <w:r w:rsidR="007804B7" w:rsidRPr="00435B32">
        <w:rPr>
          <w:rFonts w:ascii="Century Gothic" w:hAnsi="Century Gothic"/>
          <w:sz w:val="24"/>
          <w:szCs w:val="24"/>
        </w:rPr>
        <w:t xml:space="preserve"> </w:t>
      </w:r>
      <w:r>
        <w:rPr>
          <w:rFonts w:ascii="Century Gothic" w:hAnsi="Century Gothic"/>
          <w:sz w:val="24"/>
          <w:szCs w:val="24"/>
        </w:rPr>
        <w:t>No debemos</w:t>
      </w:r>
      <w:r w:rsidR="007804B7" w:rsidRPr="00435B32">
        <w:rPr>
          <w:rFonts w:ascii="Century Gothic" w:hAnsi="Century Gothic"/>
          <w:sz w:val="24"/>
          <w:szCs w:val="24"/>
        </w:rPr>
        <w:t xml:space="preserve"> dejar morir esas costumbres milenarias y esos usos y costumbres ancestrales y sin duda el Teatro es un gran puente para poder transmitir y mostrar la belleza de nuestra tierra a través de su música, de su baile, de su gastronomía, de sus tradiciones todas ellas envueltas en cuatro paredes llamadas Teatro.</w:t>
      </w:r>
    </w:p>
    <w:p w14:paraId="04845A5C" w14:textId="3300E41D" w:rsidR="007804B7" w:rsidRPr="00435B32" w:rsidRDefault="007804B7" w:rsidP="007804B7">
      <w:pPr>
        <w:jc w:val="both"/>
        <w:rPr>
          <w:rFonts w:ascii="Century Gothic" w:hAnsi="Century Gothic"/>
          <w:sz w:val="24"/>
          <w:szCs w:val="24"/>
        </w:rPr>
      </w:pPr>
      <w:r w:rsidRPr="00435B32">
        <w:rPr>
          <w:rFonts w:ascii="Century Gothic" w:hAnsi="Century Gothic"/>
          <w:sz w:val="24"/>
          <w:szCs w:val="24"/>
        </w:rPr>
        <w:t xml:space="preserve">La salvaguarda del patrimonio cultural intangible, es un factor importante del desarrollo económico, </w:t>
      </w:r>
      <w:r w:rsidR="006D5898">
        <w:rPr>
          <w:rFonts w:ascii="Century Gothic" w:hAnsi="Century Gothic"/>
          <w:sz w:val="24"/>
          <w:szCs w:val="24"/>
        </w:rPr>
        <w:t>e</w:t>
      </w:r>
      <w:r w:rsidRPr="00435B32">
        <w:rPr>
          <w:rFonts w:ascii="Century Gothic" w:hAnsi="Century Gothic"/>
          <w:sz w:val="24"/>
          <w:szCs w:val="24"/>
        </w:rPr>
        <w:t>n tal sentido, se debe dar preferencia al fortalecimiento de las funciones del patrimonio cultural intangible en la sociedad y fomentar su integración en las políticas de planificación de la economía y el desarrollo estatal.</w:t>
      </w:r>
    </w:p>
    <w:p w14:paraId="648B36FD" w14:textId="4D7CE62B" w:rsidR="007804B7" w:rsidRPr="00435B32" w:rsidRDefault="007804B7" w:rsidP="007804B7">
      <w:pPr>
        <w:jc w:val="both"/>
        <w:rPr>
          <w:rFonts w:ascii="Century Gothic" w:hAnsi="Century Gothic"/>
          <w:sz w:val="24"/>
          <w:szCs w:val="24"/>
        </w:rPr>
      </w:pPr>
      <w:r w:rsidRPr="00435B32">
        <w:rPr>
          <w:rFonts w:ascii="Century Gothic" w:hAnsi="Century Gothic"/>
          <w:sz w:val="24"/>
          <w:szCs w:val="24"/>
        </w:rPr>
        <w:t xml:space="preserve">Sin duda es importante la recuperación de nuestra esencia como </w:t>
      </w:r>
      <w:r w:rsidR="006D5898">
        <w:rPr>
          <w:rFonts w:ascii="Century Gothic" w:hAnsi="Century Gothic"/>
          <w:sz w:val="24"/>
          <w:szCs w:val="24"/>
        </w:rPr>
        <w:t>y</w:t>
      </w:r>
      <w:r w:rsidRPr="00435B32">
        <w:rPr>
          <w:rFonts w:ascii="Century Gothic" w:hAnsi="Century Gothic"/>
          <w:sz w:val="24"/>
          <w:szCs w:val="24"/>
        </w:rPr>
        <w:t>ucatecos a través de nuestros usos y costumbres, de nuestras tradiciones, de los eslabones de nuestra cultura, así como del español yucateco, es decir la combinación de coloquialismos castellanos, con acento maya.</w:t>
      </w:r>
    </w:p>
    <w:p w14:paraId="6E246755" w14:textId="6DDB5C9D" w:rsidR="008C7096" w:rsidRDefault="006D5898" w:rsidP="007804B7">
      <w:pPr>
        <w:jc w:val="both"/>
        <w:rPr>
          <w:rFonts w:ascii="Century Gothic" w:hAnsi="Century Gothic"/>
          <w:sz w:val="24"/>
          <w:szCs w:val="24"/>
        </w:rPr>
      </w:pPr>
      <w:r>
        <w:rPr>
          <w:rFonts w:ascii="Century Gothic" w:hAnsi="Century Gothic"/>
          <w:sz w:val="24"/>
          <w:szCs w:val="24"/>
        </w:rPr>
        <w:t>Para esta Legislatura es fundamental</w:t>
      </w:r>
      <w:r w:rsidR="007804B7" w:rsidRPr="00435B32">
        <w:rPr>
          <w:rFonts w:ascii="Century Gothic" w:hAnsi="Century Gothic"/>
          <w:sz w:val="24"/>
          <w:szCs w:val="24"/>
        </w:rPr>
        <w:t xml:space="preserve"> establecer las bases </w:t>
      </w:r>
      <w:r>
        <w:rPr>
          <w:rFonts w:ascii="Century Gothic" w:hAnsi="Century Gothic"/>
          <w:sz w:val="24"/>
          <w:szCs w:val="24"/>
        </w:rPr>
        <w:t>adecuadas para</w:t>
      </w:r>
      <w:r w:rsidR="007804B7" w:rsidRPr="00435B32">
        <w:rPr>
          <w:rFonts w:ascii="Century Gothic" w:hAnsi="Century Gothic"/>
          <w:sz w:val="24"/>
          <w:szCs w:val="24"/>
        </w:rPr>
        <w:t xml:space="preserve"> la defensa de del patrimonio cultural de nuestro Estado</w:t>
      </w:r>
      <w:r>
        <w:rPr>
          <w:rFonts w:ascii="Century Gothic" w:hAnsi="Century Gothic"/>
          <w:sz w:val="24"/>
          <w:szCs w:val="24"/>
        </w:rPr>
        <w:t>,</w:t>
      </w:r>
      <w:r w:rsidR="007804B7" w:rsidRPr="00435B32">
        <w:rPr>
          <w:rFonts w:ascii="Century Gothic" w:hAnsi="Century Gothic"/>
          <w:sz w:val="24"/>
          <w:szCs w:val="24"/>
        </w:rPr>
        <w:t xml:space="preserve"> </w:t>
      </w:r>
      <w:r>
        <w:rPr>
          <w:rFonts w:ascii="Century Gothic" w:hAnsi="Century Gothic"/>
          <w:sz w:val="24"/>
          <w:szCs w:val="24"/>
        </w:rPr>
        <w:t>por tal motivo,</w:t>
      </w:r>
      <w:r w:rsidR="007804B7" w:rsidRPr="00042471">
        <w:rPr>
          <w:rFonts w:ascii="Century Gothic" w:hAnsi="Century Gothic"/>
          <w:sz w:val="24"/>
          <w:szCs w:val="24"/>
        </w:rPr>
        <w:t xml:space="preserve"> en ejercicio de la facultad que nos confiere el artículo 35, fracción I, de la Constitución Política del Estado de Yucatán, somet</w:t>
      </w:r>
      <w:r w:rsidR="007804B7">
        <w:rPr>
          <w:rFonts w:ascii="Century Gothic" w:hAnsi="Century Gothic"/>
          <w:sz w:val="24"/>
          <w:szCs w:val="24"/>
        </w:rPr>
        <w:t>o</w:t>
      </w:r>
      <w:r w:rsidR="007804B7" w:rsidRPr="00042471">
        <w:rPr>
          <w:rFonts w:ascii="Century Gothic" w:hAnsi="Century Gothic"/>
          <w:sz w:val="24"/>
          <w:szCs w:val="24"/>
        </w:rPr>
        <w:t xml:space="preserve"> a la consideración de esta Soberanía, la siguiente</w:t>
      </w:r>
      <w:r w:rsidR="008C7096">
        <w:rPr>
          <w:rFonts w:ascii="Century Gothic" w:hAnsi="Century Gothic"/>
          <w:sz w:val="24"/>
          <w:szCs w:val="24"/>
        </w:rPr>
        <w:t xml:space="preserve"> </w:t>
      </w:r>
      <w:r w:rsidR="00EB12F6">
        <w:rPr>
          <w:rFonts w:ascii="Century Gothic" w:hAnsi="Century Gothic"/>
          <w:sz w:val="24"/>
          <w:szCs w:val="24"/>
        </w:rPr>
        <w:t>I</w:t>
      </w:r>
      <w:r w:rsidR="008C7096">
        <w:rPr>
          <w:rFonts w:ascii="Century Gothic" w:hAnsi="Century Gothic"/>
          <w:sz w:val="24"/>
          <w:szCs w:val="24"/>
        </w:rPr>
        <w:t xml:space="preserve">niciativa con </w:t>
      </w:r>
      <w:r w:rsidR="00EB12F6">
        <w:rPr>
          <w:rFonts w:ascii="Century Gothic" w:hAnsi="Century Gothic"/>
          <w:sz w:val="24"/>
          <w:szCs w:val="24"/>
        </w:rPr>
        <w:t>P</w:t>
      </w:r>
      <w:r w:rsidR="008C7096">
        <w:rPr>
          <w:rFonts w:ascii="Century Gothic" w:hAnsi="Century Gothic"/>
          <w:sz w:val="24"/>
          <w:szCs w:val="24"/>
        </w:rPr>
        <w:t xml:space="preserve">royecto </w:t>
      </w:r>
      <w:r w:rsidR="00EB12F6">
        <w:rPr>
          <w:rFonts w:ascii="Century Gothic" w:hAnsi="Century Gothic"/>
          <w:sz w:val="24"/>
          <w:szCs w:val="24"/>
        </w:rPr>
        <w:t>de</w:t>
      </w:r>
      <w:r w:rsidR="008C7096">
        <w:rPr>
          <w:rFonts w:ascii="Century Gothic" w:hAnsi="Century Gothic"/>
          <w:sz w:val="24"/>
          <w:szCs w:val="24"/>
        </w:rPr>
        <w:t>:</w:t>
      </w:r>
      <w:r w:rsidR="007804B7" w:rsidRPr="00042471">
        <w:rPr>
          <w:rFonts w:ascii="Century Gothic" w:hAnsi="Century Gothic"/>
          <w:sz w:val="24"/>
          <w:szCs w:val="24"/>
        </w:rPr>
        <w:t xml:space="preserve"> </w:t>
      </w:r>
    </w:p>
    <w:p w14:paraId="3989B3FB" w14:textId="1E90999E" w:rsidR="00EB12F6" w:rsidRDefault="00EB12F6" w:rsidP="00EB12F6">
      <w:pPr>
        <w:jc w:val="center"/>
        <w:rPr>
          <w:rFonts w:ascii="Century Gothic" w:hAnsi="Century Gothic"/>
          <w:b/>
          <w:sz w:val="24"/>
          <w:szCs w:val="24"/>
        </w:rPr>
      </w:pPr>
      <w:r>
        <w:rPr>
          <w:rFonts w:ascii="Century Gothic" w:hAnsi="Century Gothic"/>
          <w:b/>
          <w:bCs/>
          <w:sz w:val="24"/>
          <w:szCs w:val="24"/>
        </w:rPr>
        <w:t>D E C R E T O:</w:t>
      </w:r>
    </w:p>
    <w:p w14:paraId="0A49E02A" w14:textId="5E1674ED" w:rsidR="006D5898" w:rsidRPr="00A06456" w:rsidRDefault="00EB12F6" w:rsidP="00EB12F6">
      <w:pPr>
        <w:jc w:val="center"/>
        <w:rPr>
          <w:rFonts w:ascii="Century Gothic" w:hAnsi="Century Gothic"/>
          <w:b/>
          <w:sz w:val="24"/>
          <w:szCs w:val="24"/>
        </w:rPr>
      </w:pPr>
      <w:r>
        <w:rPr>
          <w:rFonts w:ascii="Century Gothic" w:hAnsi="Century Gothic"/>
          <w:b/>
          <w:sz w:val="24"/>
          <w:szCs w:val="24"/>
        </w:rPr>
        <w:t>Q</w:t>
      </w:r>
      <w:r w:rsidR="007804B7" w:rsidRPr="00042471">
        <w:rPr>
          <w:rFonts w:ascii="Century Gothic" w:hAnsi="Century Gothic"/>
          <w:b/>
          <w:sz w:val="24"/>
          <w:szCs w:val="24"/>
        </w:rPr>
        <w:t xml:space="preserve">ue </w:t>
      </w:r>
      <w:r>
        <w:rPr>
          <w:rFonts w:ascii="Century Gothic" w:hAnsi="Century Gothic"/>
          <w:b/>
          <w:sz w:val="24"/>
          <w:szCs w:val="24"/>
        </w:rPr>
        <w:t>d</w:t>
      </w:r>
      <w:r w:rsidR="007804B7" w:rsidRPr="00042471">
        <w:rPr>
          <w:rFonts w:ascii="Century Gothic" w:hAnsi="Century Gothic"/>
          <w:b/>
          <w:sz w:val="24"/>
          <w:szCs w:val="24"/>
        </w:rPr>
        <w:t>eclara al Teatro Regional, Patrimonio Cultural Intangible del Estado de Yucatán</w:t>
      </w:r>
    </w:p>
    <w:p w14:paraId="616EFE52" w14:textId="3764C63E" w:rsidR="007804B7" w:rsidRDefault="007804B7" w:rsidP="007804B7">
      <w:pPr>
        <w:jc w:val="both"/>
        <w:rPr>
          <w:rFonts w:ascii="Century Gothic" w:hAnsi="Century Gothic"/>
          <w:b/>
          <w:sz w:val="24"/>
          <w:szCs w:val="24"/>
        </w:rPr>
      </w:pPr>
      <w:r w:rsidRPr="001535D1">
        <w:rPr>
          <w:rFonts w:ascii="Century Gothic" w:hAnsi="Century Gothic"/>
          <w:b/>
          <w:sz w:val="24"/>
          <w:szCs w:val="24"/>
        </w:rPr>
        <w:t xml:space="preserve">Artículo </w:t>
      </w:r>
      <w:r w:rsidR="00EB12F6">
        <w:rPr>
          <w:rFonts w:ascii="Century Gothic" w:hAnsi="Century Gothic"/>
          <w:b/>
          <w:sz w:val="24"/>
          <w:szCs w:val="24"/>
        </w:rPr>
        <w:t>Primero</w:t>
      </w:r>
      <w:r w:rsidR="00D17A1E">
        <w:rPr>
          <w:rFonts w:ascii="Century Gothic" w:hAnsi="Century Gothic"/>
          <w:b/>
          <w:sz w:val="24"/>
          <w:szCs w:val="24"/>
        </w:rPr>
        <w:t>.</w:t>
      </w:r>
      <w:r w:rsidRPr="001535D1">
        <w:rPr>
          <w:rFonts w:ascii="Century Gothic" w:hAnsi="Century Gothic"/>
          <w:b/>
          <w:sz w:val="24"/>
          <w:szCs w:val="24"/>
        </w:rPr>
        <w:t xml:space="preserve"> </w:t>
      </w:r>
      <w:r w:rsidRPr="002920F5">
        <w:rPr>
          <w:rFonts w:ascii="Century Gothic" w:hAnsi="Century Gothic"/>
          <w:sz w:val="24"/>
          <w:szCs w:val="24"/>
        </w:rPr>
        <w:t>Se declara al Teatro Regional</w:t>
      </w:r>
      <w:r w:rsidR="002574BB" w:rsidRPr="002920F5">
        <w:rPr>
          <w:rFonts w:ascii="Century Gothic" w:hAnsi="Century Gothic"/>
          <w:sz w:val="24"/>
          <w:szCs w:val="24"/>
        </w:rPr>
        <w:t xml:space="preserve"> Yucateco</w:t>
      </w:r>
      <w:r w:rsidR="002920F5" w:rsidRPr="002920F5">
        <w:rPr>
          <w:rFonts w:ascii="Century Gothic" w:hAnsi="Century Gothic"/>
          <w:sz w:val="24"/>
          <w:szCs w:val="24"/>
        </w:rPr>
        <w:t>,</w:t>
      </w:r>
      <w:r w:rsidRPr="002920F5">
        <w:rPr>
          <w:rFonts w:ascii="Century Gothic" w:hAnsi="Century Gothic"/>
          <w:sz w:val="24"/>
          <w:szCs w:val="24"/>
        </w:rPr>
        <w:t xml:space="preserve"> Patrimonio Cultural Intangible del Estado de Yucatán.</w:t>
      </w:r>
      <w:r w:rsidRPr="001535D1">
        <w:rPr>
          <w:rFonts w:ascii="Century Gothic" w:hAnsi="Century Gothic"/>
          <w:b/>
          <w:sz w:val="24"/>
          <w:szCs w:val="24"/>
        </w:rPr>
        <w:t xml:space="preserve"> </w:t>
      </w:r>
    </w:p>
    <w:p w14:paraId="463377C3" w14:textId="20DA39A9" w:rsidR="00EB12F6" w:rsidRPr="00501894" w:rsidRDefault="00D17A1E" w:rsidP="007804B7">
      <w:pPr>
        <w:jc w:val="both"/>
        <w:rPr>
          <w:rFonts w:ascii="Century Gothic" w:hAnsi="Century Gothic"/>
          <w:bCs/>
          <w:sz w:val="24"/>
          <w:szCs w:val="24"/>
        </w:rPr>
      </w:pPr>
      <w:r>
        <w:rPr>
          <w:rFonts w:ascii="Century Gothic" w:hAnsi="Century Gothic"/>
          <w:b/>
          <w:sz w:val="24"/>
          <w:szCs w:val="24"/>
        </w:rPr>
        <w:t>Artículo Segundo.</w:t>
      </w:r>
      <w:r w:rsidR="00EB12F6">
        <w:rPr>
          <w:rFonts w:ascii="Century Gothic" w:hAnsi="Century Gothic"/>
          <w:b/>
          <w:sz w:val="24"/>
          <w:szCs w:val="24"/>
        </w:rPr>
        <w:t xml:space="preserve"> </w:t>
      </w:r>
      <w:r w:rsidR="00501894" w:rsidRPr="00501894">
        <w:rPr>
          <w:rFonts w:ascii="Century Gothic" w:hAnsi="Century Gothic"/>
          <w:bCs/>
          <w:sz w:val="24"/>
          <w:szCs w:val="24"/>
        </w:rPr>
        <w:t>Para los efectos de este Decreto, se considera el Teatro Regional Yucateco como la ramificación del teatro de habla española</w:t>
      </w:r>
      <w:r w:rsidR="00233A89">
        <w:rPr>
          <w:rFonts w:ascii="Century Gothic" w:hAnsi="Century Gothic"/>
          <w:bCs/>
          <w:sz w:val="24"/>
          <w:szCs w:val="24"/>
        </w:rPr>
        <w:t xml:space="preserve"> que surge a inicios del siglo XX; algunos de sus elementos característicos son la sátira, el uso del bagaje cultural regional, los usos y costumbres de origen </w:t>
      </w:r>
      <w:r w:rsidR="00233A89">
        <w:rPr>
          <w:rFonts w:ascii="Century Gothic" w:hAnsi="Century Gothic"/>
          <w:bCs/>
          <w:sz w:val="24"/>
          <w:szCs w:val="24"/>
        </w:rPr>
        <w:lastRenderedPageBreak/>
        <w:t xml:space="preserve">Maya, así como el “español yucateco” formado por la combinación de coloquialismos castellanos con acento local. </w:t>
      </w:r>
    </w:p>
    <w:p w14:paraId="270A3D26" w14:textId="529B1F56" w:rsidR="00EB12F6" w:rsidRPr="00EB12F6" w:rsidRDefault="00D17A1E" w:rsidP="007804B7">
      <w:pPr>
        <w:jc w:val="both"/>
        <w:rPr>
          <w:rFonts w:ascii="Century Gothic" w:hAnsi="Century Gothic"/>
          <w:bCs/>
          <w:sz w:val="24"/>
          <w:szCs w:val="24"/>
        </w:rPr>
      </w:pPr>
      <w:r>
        <w:rPr>
          <w:rFonts w:ascii="Century Gothic" w:hAnsi="Century Gothic"/>
          <w:b/>
          <w:sz w:val="24"/>
          <w:szCs w:val="24"/>
        </w:rPr>
        <w:t>Artículo Tercero.</w:t>
      </w:r>
      <w:r w:rsidR="00EB12F6">
        <w:rPr>
          <w:rFonts w:ascii="Century Gothic" w:hAnsi="Century Gothic"/>
          <w:b/>
          <w:sz w:val="24"/>
          <w:szCs w:val="24"/>
        </w:rPr>
        <w:t xml:space="preserve"> </w:t>
      </w:r>
      <w:r w:rsidR="00EB12F6">
        <w:rPr>
          <w:rFonts w:ascii="Century Gothic" w:hAnsi="Century Gothic"/>
          <w:bCs/>
          <w:sz w:val="24"/>
          <w:szCs w:val="24"/>
        </w:rPr>
        <w:t>Las autoridades estatales y municipales podrán realizar las acciones necesarias para preservar, difundir y promover el Teatro Regional Yucateco en el ámbito de sus competencias.</w:t>
      </w:r>
    </w:p>
    <w:p w14:paraId="7A1F81D4" w14:textId="77EB509A" w:rsidR="007804B7" w:rsidRPr="00042471" w:rsidRDefault="00D17A1E" w:rsidP="007804B7">
      <w:pPr>
        <w:jc w:val="center"/>
        <w:rPr>
          <w:rFonts w:ascii="Century Gothic" w:hAnsi="Century Gothic"/>
          <w:sz w:val="24"/>
          <w:szCs w:val="24"/>
        </w:rPr>
      </w:pPr>
      <w:r>
        <w:rPr>
          <w:rFonts w:ascii="Century Gothic" w:hAnsi="Century Gothic"/>
          <w:sz w:val="24"/>
          <w:szCs w:val="24"/>
        </w:rPr>
        <w:t>T</w:t>
      </w:r>
      <w:r w:rsidR="007804B7" w:rsidRPr="00042471">
        <w:rPr>
          <w:rFonts w:ascii="Century Gothic" w:hAnsi="Century Gothic"/>
          <w:sz w:val="24"/>
          <w:szCs w:val="24"/>
        </w:rPr>
        <w:t>ransitorio</w:t>
      </w:r>
    </w:p>
    <w:p w14:paraId="25C48D64" w14:textId="55F21810" w:rsidR="007804B7" w:rsidRDefault="00D17A1E" w:rsidP="007804B7">
      <w:pPr>
        <w:jc w:val="both"/>
        <w:rPr>
          <w:rFonts w:ascii="Century Gothic" w:hAnsi="Century Gothic"/>
          <w:sz w:val="24"/>
          <w:szCs w:val="24"/>
        </w:rPr>
      </w:pPr>
      <w:r>
        <w:rPr>
          <w:rFonts w:ascii="Century Gothic" w:hAnsi="Century Gothic"/>
          <w:sz w:val="24"/>
          <w:szCs w:val="24"/>
        </w:rPr>
        <w:t>Artículo único. Este decreto entrará en vigor a</w:t>
      </w:r>
      <w:r w:rsidR="007804B7" w:rsidRPr="00042471">
        <w:rPr>
          <w:rFonts w:ascii="Century Gothic" w:hAnsi="Century Gothic"/>
          <w:sz w:val="24"/>
          <w:szCs w:val="24"/>
        </w:rPr>
        <w:t>l día siguiente de su publicación en el Diario Oficial del Gobierno del Estado</w:t>
      </w:r>
      <w:r>
        <w:rPr>
          <w:rFonts w:ascii="Century Gothic" w:hAnsi="Century Gothic"/>
          <w:sz w:val="24"/>
          <w:szCs w:val="24"/>
        </w:rPr>
        <w:t xml:space="preserve"> de Yucatán</w:t>
      </w:r>
      <w:r w:rsidR="007804B7" w:rsidRPr="00042471">
        <w:rPr>
          <w:rFonts w:ascii="Century Gothic" w:hAnsi="Century Gothic"/>
          <w:sz w:val="24"/>
          <w:szCs w:val="24"/>
        </w:rPr>
        <w:t>.</w:t>
      </w:r>
    </w:p>
    <w:p w14:paraId="0070F40C" w14:textId="51D3B378" w:rsidR="007804B7" w:rsidRDefault="007804B7" w:rsidP="007804B7">
      <w:pPr>
        <w:jc w:val="both"/>
        <w:rPr>
          <w:rFonts w:ascii="Century Gothic" w:hAnsi="Century Gothic"/>
          <w:sz w:val="24"/>
          <w:szCs w:val="24"/>
        </w:rPr>
      </w:pPr>
      <w:r w:rsidRPr="00C3687D">
        <w:rPr>
          <w:rFonts w:ascii="Century Gothic" w:hAnsi="Century Gothic"/>
          <w:sz w:val="24"/>
          <w:szCs w:val="24"/>
        </w:rPr>
        <w:t xml:space="preserve">Protesto lo necesario, en la ciudad de Mérida, Yucatán a los </w:t>
      </w:r>
      <w:r w:rsidR="00D17A1E">
        <w:rPr>
          <w:rFonts w:ascii="Century Gothic" w:hAnsi="Century Gothic"/>
          <w:sz w:val="24"/>
          <w:szCs w:val="24"/>
        </w:rPr>
        <w:t>10</w:t>
      </w:r>
      <w:r w:rsidRPr="00C3687D">
        <w:rPr>
          <w:rFonts w:ascii="Century Gothic" w:hAnsi="Century Gothic"/>
          <w:sz w:val="24"/>
          <w:szCs w:val="24"/>
        </w:rPr>
        <w:t xml:space="preserve"> días del mes de </w:t>
      </w:r>
      <w:r>
        <w:rPr>
          <w:rFonts w:ascii="Century Gothic" w:hAnsi="Century Gothic"/>
          <w:sz w:val="24"/>
          <w:szCs w:val="24"/>
        </w:rPr>
        <w:t>mayo</w:t>
      </w:r>
      <w:r w:rsidRPr="00C3687D">
        <w:rPr>
          <w:rFonts w:ascii="Century Gothic" w:hAnsi="Century Gothic"/>
          <w:sz w:val="24"/>
          <w:szCs w:val="24"/>
        </w:rPr>
        <w:t xml:space="preserve"> del año 20</w:t>
      </w:r>
      <w:r>
        <w:rPr>
          <w:rFonts w:ascii="Century Gothic" w:hAnsi="Century Gothic"/>
          <w:sz w:val="24"/>
          <w:szCs w:val="24"/>
        </w:rPr>
        <w:t>23</w:t>
      </w:r>
      <w:r w:rsidRPr="00C3687D">
        <w:rPr>
          <w:rFonts w:ascii="Century Gothic" w:hAnsi="Century Gothic"/>
          <w:sz w:val="24"/>
          <w:szCs w:val="24"/>
        </w:rPr>
        <w:t>.</w:t>
      </w:r>
    </w:p>
    <w:p w14:paraId="2D2B17FE" w14:textId="0413A0B6" w:rsidR="002920F5" w:rsidRPr="002920F5" w:rsidRDefault="007804B7" w:rsidP="00672C94">
      <w:pPr>
        <w:spacing w:line="360" w:lineRule="auto"/>
        <w:jc w:val="center"/>
        <w:rPr>
          <w:rFonts w:ascii="Century Gothic" w:hAnsi="Century Gothic"/>
          <w:b/>
          <w:szCs w:val="24"/>
        </w:rPr>
      </w:pPr>
      <w:r w:rsidRPr="002920F5">
        <w:rPr>
          <w:rFonts w:ascii="Century Gothic" w:hAnsi="Century Gothic"/>
          <w:b/>
          <w:szCs w:val="24"/>
        </w:rPr>
        <w:t>A</w:t>
      </w:r>
      <w:r w:rsidR="00624C31">
        <w:rPr>
          <w:rFonts w:ascii="Century Gothic" w:hAnsi="Century Gothic"/>
          <w:b/>
          <w:szCs w:val="24"/>
        </w:rPr>
        <w:t xml:space="preserve"> </w:t>
      </w:r>
      <w:r w:rsidRPr="002920F5">
        <w:rPr>
          <w:rFonts w:ascii="Century Gothic" w:hAnsi="Century Gothic"/>
          <w:b/>
          <w:szCs w:val="24"/>
        </w:rPr>
        <w:t>T</w:t>
      </w:r>
      <w:r w:rsidR="00624C31">
        <w:rPr>
          <w:rFonts w:ascii="Century Gothic" w:hAnsi="Century Gothic"/>
          <w:b/>
          <w:szCs w:val="24"/>
        </w:rPr>
        <w:t xml:space="preserve"> </w:t>
      </w:r>
      <w:r w:rsidRPr="002920F5">
        <w:rPr>
          <w:rFonts w:ascii="Century Gothic" w:hAnsi="Century Gothic"/>
          <w:b/>
          <w:szCs w:val="24"/>
        </w:rPr>
        <w:t>E</w:t>
      </w:r>
      <w:r w:rsidR="00624C31">
        <w:rPr>
          <w:rFonts w:ascii="Century Gothic" w:hAnsi="Century Gothic"/>
          <w:b/>
          <w:szCs w:val="24"/>
        </w:rPr>
        <w:t xml:space="preserve"> </w:t>
      </w:r>
      <w:r w:rsidRPr="002920F5">
        <w:rPr>
          <w:rFonts w:ascii="Century Gothic" w:hAnsi="Century Gothic"/>
          <w:b/>
          <w:szCs w:val="24"/>
        </w:rPr>
        <w:t>N</w:t>
      </w:r>
      <w:r w:rsidR="00624C31">
        <w:rPr>
          <w:rFonts w:ascii="Century Gothic" w:hAnsi="Century Gothic"/>
          <w:b/>
          <w:szCs w:val="24"/>
        </w:rPr>
        <w:t xml:space="preserve"> </w:t>
      </w:r>
      <w:r w:rsidRPr="002920F5">
        <w:rPr>
          <w:rFonts w:ascii="Century Gothic" w:hAnsi="Century Gothic"/>
          <w:b/>
          <w:szCs w:val="24"/>
        </w:rPr>
        <w:t>T</w:t>
      </w:r>
      <w:r w:rsidR="00624C31">
        <w:rPr>
          <w:rFonts w:ascii="Century Gothic" w:hAnsi="Century Gothic"/>
          <w:b/>
          <w:szCs w:val="24"/>
        </w:rPr>
        <w:t xml:space="preserve"> </w:t>
      </w:r>
      <w:r w:rsidRPr="002920F5">
        <w:rPr>
          <w:rFonts w:ascii="Century Gothic" w:hAnsi="Century Gothic"/>
          <w:b/>
          <w:szCs w:val="24"/>
        </w:rPr>
        <w:t>A</w:t>
      </w:r>
      <w:r w:rsidR="00624C31">
        <w:rPr>
          <w:rFonts w:ascii="Century Gothic" w:hAnsi="Century Gothic"/>
          <w:b/>
          <w:szCs w:val="24"/>
        </w:rPr>
        <w:t xml:space="preserve"> </w:t>
      </w:r>
      <w:r w:rsidRPr="002920F5">
        <w:rPr>
          <w:rFonts w:ascii="Century Gothic" w:hAnsi="Century Gothic"/>
          <w:b/>
          <w:szCs w:val="24"/>
        </w:rPr>
        <w:t>M</w:t>
      </w:r>
      <w:r w:rsidR="00624C31">
        <w:rPr>
          <w:rFonts w:ascii="Century Gothic" w:hAnsi="Century Gothic"/>
          <w:b/>
          <w:szCs w:val="24"/>
        </w:rPr>
        <w:t xml:space="preserve"> </w:t>
      </w:r>
      <w:r w:rsidRPr="002920F5">
        <w:rPr>
          <w:rFonts w:ascii="Century Gothic" w:hAnsi="Century Gothic"/>
          <w:b/>
          <w:szCs w:val="24"/>
        </w:rPr>
        <w:t>E</w:t>
      </w:r>
      <w:r w:rsidR="00624C31">
        <w:rPr>
          <w:rFonts w:ascii="Century Gothic" w:hAnsi="Century Gothic"/>
          <w:b/>
          <w:szCs w:val="24"/>
        </w:rPr>
        <w:t xml:space="preserve"> </w:t>
      </w:r>
      <w:r w:rsidRPr="002920F5">
        <w:rPr>
          <w:rFonts w:ascii="Century Gothic" w:hAnsi="Century Gothic"/>
          <w:b/>
          <w:szCs w:val="24"/>
        </w:rPr>
        <w:t>N</w:t>
      </w:r>
      <w:r w:rsidR="00624C31">
        <w:rPr>
          <w:rFonts w:ascii="Century Gothic" w:hAnsi="Century Gothic"/>
          <w:b/>
          <w:szCs w:val="24"/>
        </w:rPr>
        <w:t xml:space="preserve"> </w:t>
      </w:r>
      <w:r w:rsidRPr="002920F5">
        <w:rPr>
          <w:rFonts w:ascii="Century Gothic" w:hAnsi="Century Gothic"/>
          <w:b/>
          <w:szCs w:val="24"/>
        </w:rPr>
        <w:t>T</w:t>
      </w:r>
      <w:r w:rsidR="00624C31">
        <w:rPr>
          <w:rFonts w:ascii="Century Gothic" w:hAnsi="Century Gothic"/>
          <w:b/>
          <w:szCs w:val="24"/>
        </w:rPr>
        <w:t xml:space="preserve"> </w:t>
      </w:r>
      <w:r w:rsidRPr="002920F5">
        <w:rPr>
          <w:rFonts w:ascii="Century Gothic" w:hAnsi="Century Gothic"/>
          <w:b/>
          <w:szCs w:val="24"/>
        </w:rPr>
        <w:t>E</w:t>
      </w:r>
    </w:p>
    <w:tbl>
      <w:tblPr>
        <w:tblStyle w:val="Tablanormal1"/>
        <w:tblpPr w:leftFromText="141" w:rightFromText="141" w:vertAnchor="text" w:horzAnchor="margin" w:tblpXSpec="center" w:tblpY="212"/>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3"/>
      </w:tblGrid>
      <w:tr w:rsidR="002920F5" w:rsidRPr="005E47C2" w14:paraId="1CE3F774" w14:textId="77777777" w:rsidTr="00624C3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hideMark/>
          </w:tcPr>
          <w:p w14:paraId="033DE309" w14:textId="77777777" w:rsidR="002920F5" w:rsidRPr="0037267C" w:rsidRDefault="002920F5" w:rsidP="00E31917">
            <w:pPr>
              <w:jc w:val="center"/>
              <w:rPr>
                <w:rFonts w:eastAsia="Times New Roman"/>
                <w:sz w:val="22"/>
                <w:szCs w:val="22"/>
              </w:rPr>
            </w:pPr>
            <w:r w:rsidRPr="0037267C">
              <w:rPr>
                <w:rFonts w:eastAsia="Times New Roman"/>
                <w:sz w:val="22"/>
                <w:szCs w:val="22"/>
              </w:rPr>
              <w:t>DIP. ERIK JOSÉ RIHANI GONZÁLEZ</w:t>
            </w:r>
          </w:p>
        </w:tc>
        <w:tc>
          <w:tcPr>
            <w:tcW w:w="4683" w:type="dxa"/>
            <w:shd w:val="clear" w:color="auto" w:fill="auto"/>
          </w:tcPr>
          <w:p w14:paraId="783B7AD3" w14:textId="77777777" w:rsidR="002920F5" w:rsidRPr="0037267C" w:rsidRDefault="002920F5" w:rsidP="00E31917">
            <w:pPr>
              <w:jc w:val="center"/>
              <w:cnfStyle w:val="100000000000" w:firstRow="1" w:lastRow="0" w:firstColumn="0" w:lastColumn="0" w:oddVBand="0" w:evenVBand="0" w:oddHBand="0" w:evenHBand="0" w:firstRowFirstColumn="0" w:firstRowLastColumn="0" w:lastRowFirstColumn="0" w:lastRowLastColumn="0"/>
              <w:rPr>
                <w:rFonts w:eastAsia="Times New Roman"/>
                <w:sz w:val="22"/>
              </w:rPr>
            </w:pPr>
            <w:r w:rsidRPr="0037267C">
              <w:rPr>
                <w:rFonts w:eastAsia="Times New Roman"/>
                <w:sz w:val="22"/>
                <w:szCs w:val="22"/>
              </w:rPr>
              <w:t>DIP. VICTOR HUGO LOZANO POVEDA</w:t>
            </w:r>
          </w:p>
        </w:tc>
      </w:tr>
      <w:tr w:rsidR="002920F5" w:rsidRPr="005E47C2" w14:paraId="77BC6505" w14:textId="77777777" w:rsidTr="00624C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hideMark/>
          </w:tcPr>
          <w:p w14:paraId="7098DEDA" w14:textId="77777777" w:rsidR="002920F5" w:rsidRPr="0037267C" w:rsidRDefault="002920F5" w:rsidP="00E31917">
            <w:pPr>
              <w:jc w:val="center"/>
              <w:rPr>
                <w:rFonts w:eastAsia="Times New Roman"/>
                <w:sz w:val="22"/>
                <w:szCs w:val="22"/>
              </w:rPr>
            </w:pPr>
          </w:p>
          <w:p w14:paraId="33AA3680" w14:textId="77777777" w:rsidR="002920F5" w:rsidRDefault="002920F5" w:rsidP="00E31917">
            <w:pPr>
              <w:jc w:val="center"/>
              <w:rPr>
                <w:rFonts w:eastAsia="Times New Roman"/>
                <w:sz w:val="22"/>
                <w:szCs w:val="22"/>
              </w:rPr>
            </w:pPr>
          </w:p>
          <w:p w14:paraId="694439B9" w14:textId="77777777" w:rsidR="002920F5" w:rsidRPr="0037267C" w:rsidRDefault="002920F5" w:rsidP="00E31917">
            <w:pPr>
              <w:jc w:val="center"/>
              <w:rPr>
                <w:rFonts w:eastAsia="Times New Roman"/>
                <w:sz w:val="22"/>
                <w:szCs w:val="22"/>
              </w:rPr>
            </w:pPr>
          </w:p>
          <w:p w14:paraId="36AFF6D8" w14:textId="77777777" w:rsidR="002920F5" w:rsidRDefault="002920F5" w:rsidP="00E31917">
            <w:pPr>
              <w:jc w:val="center"/>
              <w:rPr>
                <w:rFonts w:eastAsia="Times New Roman"/>
                <w:sz w:val="22"/>
                <w:szCs w:val="22"/>
              </w:rPr>
            </w:pPr>
            <w:r w:rsidRPr="0037267C">
              <w:rPr>
                <w:rFonts w:eastAsia="Times New Roman"/>
                <w:sz w:val="22"/>
                <w:szCs w:val="22"/>
              </w:rPr>
              <w:t>DIP. ABRIL FERREYRO ROSADO</w:t>
            </w:r>
          </w:p>
          <w:p w14:paraId="179D854D" w14:textId="77777777" w:rsidR="002920F5" w:rsidRDefault="002920F5" w:rsidP="00E31917">
            <w:pPr>
              <w:jc w:val="center"/>
              <w:rPr>
                <w:rFonts w:eastAsia="Times New Roman"/>
                <w:sz w:val="22"/>
                <w:szCs w:val="22"/>
              </w:rPr>
            </w:pPr>
          </w:p>
          <w:p w14:paraId="23F99628" w14:textId="77777777" w:rsidR="002920F5" w:rsidRPr="0037267C" w:rsidRDefault="002920F5" w:rsidP="00E31917">
            <w:pPr>
              <w:jc w:val="center"/>
              <w:rPr>
                <w:rFonts w:eastAsia="Times New Roman"/>
                <w:sz w:val="22"/>
                <w:szCs w:val="22"/>
              </w:rPr>
            </w:pPr>
          </w:p>
        </w:tc>
        <w:tc>
          <w:tcPr>
            <w:tcW w:w="4683" w:type="dxa"/>
            <w:shd w:val="clear" w:color="auto" w:fill="auto"/>
          </w:tcPr>
          <w:p w14:paraId="39024536" w14:textId="77777777" w:rsidR="002920F5" w:rsidRPr="0037267C" w:rsidRDefault="002920F5" w:rsidP="00E31917">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p>
          <w:p w14:paraId="272609CD" w14:textId="77777777" w:rsidR="002920F5" w:rsidRDefault="002920F5" w:rsidP="00E31917">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p>
          <w:p w14:paraId="79674EDD" w14:textId="77777777" w:rsidR="002920F5" w:rsidRPr="0037267C" w:rsidRDefault="002920F5" w:rsidP="00E31917">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p>
          <w:p w14:paraId="110FA3BB" w14:textId="77777777" w:rsidR="002920F5" w:rsidRDefault="002920F5" w:rsidP="00E31917">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sidRPr="0037267C">
              <w:rPr>
                <w:rFonts w:eastAsia="Times New Roman"/>
                <w:b/>
                <w:sz w:val="22"/>
                <w:szCs w:val="22"/>
              </w:rPr>
              <w:t>DIP. KAREM FARIDE ACHACH RAMÍREZ</w:t>
            </w:r>
          </w:p>
          <w:p w14:paraId="7952C780" w14:textId="77777777" w:rsidR="002920F5" w:rsidRPr="0037267C" w:rsidRDefault="002920F5" w:rsidP="002920F5">
            <w:pPr>
              <w:cnfStyle w:val="000000100000" w:firstRow="0" w:lastRow="0" w:firstColumn="0" w:lastColumn="0" w:oddVBand="0" w:evenVBand="0" w:oddHBand="1" w:evenHBand="0" w:firstRowFirstColumn="0" w:firstRowLastColumn="0" w:lastRowFirstColumn="0" w:lastRowLastColumn="0"/>
              <w:rPr>
                <w:rFonts w:eastAsia="Times New Roman"/>
                <w:b/>
                <w:sz w:val="22"/>
              </w:rPr>
            </w:pPr>
          </w:p>
        </w:tc>
      </w:tr>
      <w:tr w:rsidR="002920F5" w:rsidRPr="005E47C2" w14:paraId="084395C9" w14:textId="77777777" w:rsidTr="00624C31">
        <w:trPr>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hideMark/>
          </w:tcPr>
          <w:p w14:paraId="117C63D6" w14:textId="77777777" w:rsidR="002920F5" w:rsidRPr="0037267C" w:rsidRDefault="002920F5" w:rsidP="00E31917">
            <w:pPr>
              <w:jc w:val="center"/>
              <w:rPr>
                <w:rFonts w:eastAsia="Times New Roman"/>
                <w:sz w:val="22"/>
                <w:szCs w:val="22"/>
              </w:rPr>
            </w:pPr>
          </w:p>
          <w:p w14:paraId="6C0EB552" w14:textId="77777777" w:rsidR="002920F5" w:rsidRPr="0037267C" w:rsidRDefault="002920F5" w:rsidP="00E31917">
            <w:pPr>
              <w:jc w:val="center"/>
              <w:rPr>
                <w:rFonts w:eastAsia="Times New Roman"/>
                <w:sz w:val="22"/>
                <w:szCs w:val="22"/>
              </w:rPr>
            </w:pPr>
            <w:r w:rsidRPr="0037267C">
              <w:rPr>
                <w:rFonts w:eastAsia="Times New Roman"/>
                <w:sz w:val="22"/>
                <w:szCs w:val="22"/>
              </w:rPr>
              <w:t>DIP. KARLA VANESSA SALAZAR GONZÁLEZ</w:t>
            </w:r>
          </w:p>
        </w:tc>
        <w:tc>
          <w:tcPr>
            <w:tcW w:w="4683" w:type="dxa"/>
            <w:shd w:val="clear" w:color="auto" w:fill="auto"/>
          </w:tcPr>
          <w:p w14:paraId="0B4F0DEB" w14:textId="77777777" w:rsidR="002920F5" w:rsidRPr="0037267C" w:rsidRDefault="002920F5" w:rsidP="00E31917">
            <w:pPr>
              <w:jc w:val="cente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p>
          <w:p w14:paraId="72D59F0C" w14:textId="4EB06BB7" w:rsidR="002920F5" w:rsidRPr="0037267C" w:rsidRDefault="00593FB8" w:rsidP="00E31917">
            <w:pPr>
              <w:jc w:val="center"/>
              <w:cnfStyle w:val="000000000000" w:firstRow="0" w:lastRow="0" w:firstColumn="0" w:lastColumn="0" w:oddVBand="0" w:evenVBand="0" w:oddHBand="0" w:evenHBand="0" w:firstRowFirstColumn="0" w:firstRowLastColumn="0" w:lastRowFirstColumn="0" w:lastRowLastColumn="0"/>
              <w:rPr>
                <w:rFonts w:eastAsia="Times New Roman"/>
                <w:b/>
                <w:sz w:val="22"/>
              </w:rPr>
            </w:pPr>
            <w:r>
              <w:rPr>
                <w:rFonts w:eastAsia="Times New Roman"/>
                <w:b/>
                <w:sz w:val="22"/>
                <w:szCs w:val="22"/>
              </w:rPr>
              <w:t>DIP. JESÚS EFRÉN PÉ</w:t>
            </w:r>
            <w:r w:rsidR="002920F5" w:rsidRPr="0037267C">
              <w:rPr>
                <w:rFonts w:eastAsia="Times New Roman"/>
                <w:b/>
                <w:sz w:val="22"/>
                <w:szCs w:val="22"/>
              </w:rPr>
              <w:t>REZ BALLOTE</w:t>
            </w:r>
          </w:p>
        </w:tc>
      </w:tr>
      <w:tr w:rsidR="002920F5" w:rsidRPr="005E47C2" w14:paraId="0509D505" w14:textId="77777777" w:rsidTr="00624C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hideMark/>
          </w:tcPr>
          <w:p w14:paraId="23D5EE67" w14:textId="77777777" w:rsidR="002920F5" w:rsidRDefault="002920F5" w:rsidP="00E31917">
            <w:pPr>
              <w:jc w:val="center"/>
              <w:rPr>
                <w:rFonts w:eastAsia="Times New Roman"/>
                <w:sz w:val="22"/>
                <w:szCs w:val="22"/>
              </w:rPr>
            </w:pPr>
          </w:p>
          <w:p w14:paraId="5C19E778" w14:textId="77777777" w:rsidR="00624C31" w:rsidRPr="0037267C" w:rsidRDefault="00624C31" w:rsidP="00E31917">
            <w:pPr>
              <w:jc w:val="center"/>
              <w:rPr>
                <w:rFonts w:eastAsia="Times New Roman"/>
                <w:sz w:val="22"/>
                <w:szCs w:val="22"/>
              </w:rPr>
            </w:pPr>
          </w:p>
          <w:p w14:paraId="6127A99A" w14:textId="77777777" w:rsidR="002920F5" w:rsidRPr="0037267C" w:rsidRDefault="002920F5" w:rsidP="00E31917">
            <w:pPr>
              <w:jc w:val="center"/>
              <w:rPr>
                <w:rFonts w:eastAsia="Times New Roman"/>
                <w:sz w:val="22"/>
                <w:szCs w:val="22"/>
              </w:rPr>
            </w:pPr>
          </w:p>
          <w:p w14:paraId="49A25E06" w14:textId="77777777" w:rsidR="002920F5" w:rsidRPr="0037267C" w:rsidRDefault="002920F5" w:rsidP="00E31917">
            <w:pPr>
              <w:jc w:val="center"/>
              <w:rPr>
                <w:rFonts w:eastAsia="Times New Roman"/>
                <w:sz w:val="22"/>
                <w:szCs w:val="22"/>
              </w:rPr>
            </w:pPr>
            <w:r w:rsidRPr="0037267C">
              <w:rPr>
                <w:rFonts w:eastAsia="Times New Roman"/>
                <w:sz w:val="22"/>
                <w:szCs w:val="22"/>
              </w:rPr>
              <w:t>DIP. DAFNE CELINA LÓPEZ OSORIO</w:t>
            </w:r>
          </w:p>
        </w:tc>
        <w:tc>
          <w:tcPr>
            <w:tcW w:w="4683" w:type="dxa"/>
            <w:shd w:val="clear" w:color="auto" w:fill="auto"/>
          </w:tcPr>
          <w:p w14:paraId="74FDE74A" w14:textId="77777777" w:rsidR="002920F5" w:rsidRPr="0037267C" w:rsidRDefault="002920F5" w:rsidP="00E31917">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pt-BR"/>
              </w:rPr>
            </w:pPr>
          </w:p>
          <w:p w14:paraId="4B9EFD4A" w14:textId="77777777" w:rsidR="002920F5" w:rsidRDefault="002920F5" w:rsidP="00E31917">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pt-BR"/>
              </w:rPr>
            </w:pPr>
          </w:p>
          <w:p w14:paraId="68D1DCD4" w14:textId="77777777" w:rsidR="00624C31" w:rsidRPr="0037267C" w:rsidRDefault="00624C31" w:rsidP="00E31917">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pt-BR"/>
              </w:rPr>
            </w:pPr>
          </w:p>
          <w:p w14:paraId="2D67E004" w14:textId="77777777" w:rsidR="002920F5" w:rsidRPr="0037267C" w:rsidRDefault="002920F5" w:rsidP="00E31917">
            <w:pPr>
              <w:jc w:val="center"/>
              <w:cnfStyle w:val="000000100000" w:firstRow="0" w:lastRow="0" w:firstColumn="0" w:lastColumn="0" w:oddVBand="0" w:evenVBand="0" w:oddHBand="1" w:evenHBand="0" w:firstRowFirstColumn="0" w:firstRowLastColumn="0" w:lastRowFirstColumn="0" w:lastRowLastColumn="0"/>
              <w:rPr>
                <w:rFonts w:eastAsia="Times New Roman"/>
                <w:b/>
                <w:sz w:val="22"/>
              </w:rPr>
            </w:pPr>
            <w:r w:rsidRPr="0037267C">
              <w:rPr>
                <w:rFonts w:eastAsia="Times New Roman"/>
                <w:b/>
                <w:sz w:val="22"/>
                <w:szCs w:val="22"/>
                <w:lang w:val="pt-BR"/>
              </w:rPr>
              <w:t>DIP. MANUELA DE JESÚS COCOM BOLIO</w:t>
            </w:r>
          </w:p>
        </w:tc>
      </w:tr>
      <w:tr w:rsidR="002920F5" w:rsidRPr="005E47C2" w14:paraId="32DB30CA" w14:textId="77777777" w:rsidTr="00624C31">
        <w:trPr>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hideMark/>
          </w:tcPr>
          <w:p w14:paraId="653DD2F1" w14:textId="77777777" w:rsidR="002920F5" w:rsidRPr="0037267C" w:rsidRDefault="002920F5" w:rsidP="00E31917">
            <w:pPr>
              <w:jc w:val="center"/>
              <w:rPr>
                <w:rFonts w:eastAsia="Times New Roman"/>
                <w:sz w:val="22"/>
                <w:szCs w:val="22"/>
              </w:rPr>
            </w:pPr>
          </w:p>
          <w:p w14:paraId="0FD25540" w14:textId="77777777" w:rsidR="002920F5" w:rsidRDefault="002920F5" w:rsidP="00E31917">
            <w:pPr>
              <w:jc w:val="center"/>
              <w:rPr>
                <w:rFonts w:eastAsia="Times New Roman"/>
                <w:sz w:val="22"/>
                <w:szCs w:val="22"/>
              </w:rPr>
            </w:pPr>
          </w:p>
          <w:p w14:paraId="5611A2FB" w14:textId="77777777" w:rsidR="00624C31" w:rsidRPr="0037267C" w:rsidRDefault="00624C31" w:rsidP="00E31917">
            <w:pPr>
              <w:jc w:val="center"/>
              <w:rPr>
                <w:rFonts w:eastAsia="Times New Roman"/>
                <w:sz w:val="22"/>
                <w:szCs w:val="22"/>
              </w:rPr>
            </w:pPr>
          </w:p>
          <w:p w14:paraId="131D28BB" w14:textId="505085FE" w:rsidR="002920F5" w:rsidRPr="0037267C" w:rsidRDefault="00593FB8" w:rsidP="00E31917">
            <w:pPr>
              <w:jc w:val="center"/>
              <w:rPr>
                <w:rFonts w:eastAsia="Times New Roman"/>
                <w:sz w:val="22"/>
                <w:szCs w:val="22"/>
              </w:rPr>
            </w:pPr>
            <w:r>
              <w:rPr>
                <w:rFonts w:eastAsia="Times New Roman"/>
                <w:sz w:val="22"/>
                <w:szCs w:val="22"/>
              </w:rPr>
              <w:t>DIP. LUIS RENÉ</w:t>
            </w:r>
            <w:r w:rsidR="002920F5" w:rsidRPr="0037267C">
              <w:rPr>
                <w:rFonts w:eastAsia="Times New Roman"/>
                <w:sz w:val="22"/>
                <w:szCs w:val="22"/>
              </w:rPr>
              <w:t xml:space="preserve"> FERNÁNDEZ VIDAL</w:t>
            </w:r>
          </w:p>
        </w:tc>
        <w:tc>
          <w:tcPr>
            <w:tcW w:w="4683" w:type="dxa"/>
            <w:shd w:val="clear" w:color="auto" w:fill="auto"/>
          </w:tcPr>
          <w:p w14:paraId="60B0556A" w14:textId="77777777" w:rsidR="002920F5" w:rsidRPr="0037267C" w:rsidRDefault="002920F5" w:rsidP="00E31917">
            <w:pPr>
              <w:jc w:val="cente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p>
          <w:p w14:paraId="67C9A849" w14:textId="77777777" w:rsidR="002920F5" w:rsidRDefault="002920F5" w:rsidP="00E31917">
            <w:pPr>
              <w:jc w:val="cente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p>
          <w:p w14:paraId="7DA65B96" w14:textId="77777777" w:rsidR="00624C31" w:rsidRPr="0037267C" w:rsidRDefault="00624C31" w:rsidP="00E31917">
            <w:pPr>
              <w:jc w:val="cente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p>
          <w:p w14:paraId="3E49DE1F" w14:textId="48289409" w:rsidR="002920F5" w:rsidRPr="0037267C" w:rsidRDefault="00593FB8" w:rsidP="00E31917">
            <w:pPr>
              <w:jc w:val="center"/>
              <w:cnfStyle w:val="000000000000" w:firstRow="0" w:lastRow="0" w:firstColumn="0" w:lastColumn="0" w:oddVBand="0" w:evenVBand="0" w:oddHBand="0" w:evenHBand="0" w:firstRowFirstColumn="0" w:firstRowLastColumn="0" w:lastRowFirstColumn="0" w:lastRowLastColumn="0"/>
              <w:rPr>
                <w:rFonts w:eastAsia="Times New Roman"/>
                <w:b/>
                <w:sz w:val="22"/>
              </w:rPr>
            </w:pPr>
            <w:r>
              <w:rPr>
                <w:rFonts w:eastAsia="Times New Roman"/>
                <w:b/>
                <w:sz w:val="22"/>
                <w:szCs w:val="22"/>
              </w:rPr>
              <w:t>DIP. ESTEBAN ABRAHAM MACARI</w:t>
            </w:r>
          </w:p>
        </w:tc>
      </w:tr>
      <w:tr w:rsidR="002920F5" w:rsidRPr="001275A1" w14:paraId="1AF05E49" w14:textId="77777777" w:rsidTr="00624C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hideMark/>
          </w:tcPr>
          <w:p w14:paraId="1DEB93F2" w14:textId="77777777" w:rsidR="002920F5" w:rsidRDefault="002920F5" w:rsidP="00E31917">
            <w:pPr>
              <w:jc w:val="center"/>
              <w:rPr>
                <w:rFonts w:eastAsia="Times New Roman"/>
                <w:sz w:val="22"/>
                <w:szCs w:val="22"/>
              </w:rPr>
            </w:pPr>
          </w:p>
          <w:p w14:paraId="1420C51E" w14:textId="77777777" w:rsidR="002920F5" w:rsidRPr="0037267C" w:rsidRDefault="002920F5" w:rsidP="00E31917">
            <w:pPr>
              <w:jc w:val="center"/>
              <w:rPr>
                <w:rFonts w:eastAsia="Times New Roman"/>
                <w:sz w:val="22"/>
                <w:szCs w:val="22"/>
              </w:rPr>
            </w:pPr>
          </w:p>
          <w:p w14:paraId="7197673B" w14:textId="77777777" w:rsidR="002920F5" w:rsidRPr="0037267C" w:rsidRDefault="002920F5" w:rsidP="00E31917">
            <w:pPr>
              <w:jc w:val="center"/>
              <w:rPr>
                <w:rFonts w:eastAsia="Times New Roman"/>
                <w:sz w:val="22"/>
                <w:szCs w:val="22"/>
              </w:rPr>
            </w:pPr>
          </w:p>
          <w:p w14:paraId="586024BD" w14:textId="77777777" w:rsidR="002920F5" w:rsidRPr="0037267C" w:rsidRDefault="002920F5" w:rsidP="00E31917">
            <w:pPr>
              <w:jc w:val="center"/>
              <w:rPr>
                <w:rFonts w:eastAsia="Times New Roman"/>
                <w:sz w:val="22"/>
                <w:szCs w:val="22"/>
                <w:lang w:val="pt-BR"/>
              </w:rPr>
            </w:pPr>
            <w:r w:rsidRPr="0037267C">
              <w:rPr>
                <w:rFonts w:eastAsia="Times New Roman"/>
                <w:sz w:val="22"/>
                <w:szCs w:val="22"/>
              </w:rPr>
              <w:t>DIP. RAÚL ANTONIO ROMERO CHEL</w:t>
            </w:r>
          </w:p>
        </w:tc>
        <w:tc>
          <w:tcPr>
            <w:tcW w:w="4683" w:type="dxa"/>
            <w:shd w:val="clear" w:color="auto" w:fill="auto"/>
          </w:tcPr>
          <w:p w14:paraId="7B6E4C7C" w14:textId="77777777" w:rsidR="002920F5" w:rsidRPr="0037267C" w:rsidRDefault="002920F5" w:rsidP="00E31917">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p>
          <w:p w14:paraId="51792B7B" w14:textId="77777777" w:rsidR="002920F5" w:rsidRDefault="002920F5" w:rsidP="00E31917">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p>
          <w:p w14:paraId="4836D56F" w14:textId="77777777" w:rsidR="002920F5" w:rsidRPr="0037267C" w:rsidRDefault="002920F5" w:rsidP="00E31917">
            <w:pPr>
              <w:jc w:val="cente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p>
          <w:p w14:paraId="3085E008" w14:textId="468FE322" w:rsidR="002920F5" w:rsidRPr="0037267C" w:rsidRDefault="002920F5" w:rsidP="00E31917">
            <w:pPr>
              <w:jc w:val="center"/>
              <w:cnfStyle w:val="000000100000" w:firstRow="0" w:lastRow="0" w:firstColumn="0" w:lastColumn="0" w:oddVBand="0" w:evenVBand="0" w:oddHBand="1" w:evenHBand="0" w:firstRowFirstColumn="0" w:firstRowLastColumn="0" w:lastRowFirstColumn="0" w:lastRowLastColumn="0"/>
              <w:rPr>
                <w:rFonts w:eastAsia="Times New Roman"/>
                <w:b/>
                <w:sz w:val="22"/>
                <w:lang w:val="pt-BR"/>
              </w:rPr>
            </w:pPr>
            <w:r w:rsidRPr="0037267C">
              <w:rPr>
                <w:rFonts w:eastAsia="Times New Roman"/>
                <w:b/>
                <w:sz w:val="22"/>
                <w:szCs w:val="22"/>
              </w:rPr>
              <w:t>DIP.</w:t>
            </w:r>
            <w:r w:rsidR="00593FB8">
              <w:rPr>
                <w:rFonts w:eastAsia="Times New Roman"/>
                <w:b/>
                <w:sz w:val="22"/>
                <w:szCs w:val="22"/>
              </w:rPr>
              <w:t xml:space="preserve"> CARMEN GUADALUPE GONZÁLEZ MARTÍ</w:t>
            </w:r>
            <w:r w:rsidRPr="0037267C">
              <w:rPr>
                <w:rFonts w:eastAsia="Times New Roman"/>
                <w:b/>
                <w:sz w:val="22"/>
                <w:szCs w:val="22"/>
              </w:rPr>
              <w:t>N</w:t>
            </w:r>
          </w:p>
        </w:tc>
      </w:tr>
      <w:tr w:rsidR="002920F5" w:rsidRPr="005E47C2" w14:paraId="20E6ABEB" w14:textId="77777777" w:rsidTr="00624C31">
        <w:trPr>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hideMark/>
          </w:tcPr>
          <w:p w14:paraId="125DE606" w14:textId="77777777" w:rsidR="002920F5" w:rsidRPr="0037267C" w:rsidRDefault="002920F5" w:rsidP="00E31917">
            <w:pPr>
              <w:jc w:val="center"/>
              <w:rPr>
                <w:rFonts w:eastAsia="Times New Roman"/>
                <w:sz w:val="22"/>
                <w:szCs w:val="22"/>
              </w:rPr>
            </w:pPr>
          </w:p>
          <w:p w14:paraId="374E1CF1" w14:textId="77777777" w:rsidR="002920F5" w:rsidRDefault="002920F5" w:rsidP="00E31917">
            <w:pPr>
              <w:jc w:val="center"/>
              <w:rPr>
                <w:rFonts w:eastAsia="Times New Roman"/>
                <w:sz w:val="22"/>
                <w:szCs w:val="22"/>
              </w:rPr>
            </w:pPr>
          </w:p>
          <w:p w14:paraId="73AC6053" w14:textId="77777777" w:rsidR="002920F5" w:rsidRPr="0037267C" w:rsidRDefault="002920F5" w:rsidP="00E31917">
            <w:pPr>
              <w:jc w:val="center"/>
              <w:rPr>
                <w:rFonts w:eastAsia="Times New Roman"/>
                <w:sz w:val="22"/>
                <w:szCs w:val="22"/>
              </w:rPr>
            </w:pPr>
          </w:p>
          <w:p w14:paraId="4AB91C32" w14:textId="77777777" w:rsidR="002920F5" w:rsidRPr="0037267C" w:rsidRDefault="002920F5" w:rsidP="00E31917">
            <w:pPr>
              <w:jc w:val="center"/>
              <w:rPr>
                <w:rFonts w:eastAsia="Times New Roman"/>
                <w:sz w:val="22"/>
                <w:szCs w:val="22"/>
              </w:rPr>
            </w:pPr>
            <w:r w:rsidRPr="0037267C">
              <w:rPr>
                <w:rFonts w:eastAsia="Times New Roman"/>
                <w:sz w:val="22"/>
                <w:szCs w:val="22"/>
              </w:rPr>
              <w:t>DIP. MELBA ROSANA GAMBOA ÁVILA</w:t>
            </w:r>
          </w:p>
        </w:tc>
        <w:tc>
          <w:tcPr>
            <w:tcW w:w="4683" w:type="dxa"/>
            <w:shd w:val="clear" w:color="auto" w:fill="auto"/>
          </w:tcPr>
          <w:p w14:paraId="3A7B916A" w14:textId="77777777" w:rsidR="002920F5" w:rsidRDefault="002920F5" w:rsidP="00E31917">
            <w:pPr>
              <w:jc w:val="cente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p>
          <w:p w14:paraId="3755DA81" w14:textId="77777777" w:rsidR="002920F5" w:rsidRPr="0037267C" w:rsidRDefault="002920F5" w:rsidP="00E31917">
            <w:pPr>
              <w:jc w:val="cente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p>
          <w:p w14:paraId="318674E3" w14:textId="77777777" w:rsidR="002920F5" w:rsidRPr="0037267C" w:rsidRDefault="002920F5" w:rsidP="00E31917">
            <w:pPr>
              <w:jc w:val="cente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p>
          <w:p w14:paraId="0E3EF917" w14:textId="77777777" w:rsidR="002920F5" w:rsidRPr="0037267C" w:rsidRDefault="002920F5" w:rsidP="00E31917">
            <w:pPr>
              <w:jc w:val="center"/>
              <w:cnfStyle w:val="000000000000" w:firstRow="0" w:lastRow="0" w:firstColumn="0" w:lastColumn="0" w:oddVBand="0" w:evenVBand="0" w:oddHBand="0" w:evenHBand="0" w:firstRowFirstColumn="0" w:firstRowLastColumn="0" w:lastRowFirstColumn="0" w:lastRowLastColumn="0"/>
              <w:rPr>
                <w:rFonts w:eastAsia="Times New Roman"/>
                <w:b/>
                <w:sz w:val="22"/>
              </w:rPr>
            </w:pPr>
            <w:r w:rsidRPr="0037267C">
              <w:rPr>
                <w:rFonts w:eastAsia="Times New Roman"/>
                <w:b/>
                <w:sz w:val="22"/>
                <w:szCs w:val="22"/>
              </w:rPr>
              <w:t>DIP. INGRID DEL PILAR SANTOS DÍAZ</w:t>
            </w:r>
          </w:p>
        </w:tc>
      </w:tr>
    </w:tbl>
    <w:p w14:paraId="47E28C60" w14:textId="77777777" w:rsidR="00F25778" w:rsidRDefault="00F25778" w:rsidP="007804B7">
      <w:pPr>
        <w:spacing w:after="0" w:line="276" w:lineRule="auto"/>
        <w:jc w:val="both"/>
        <w:rPr>
          <w:rFonts w:ascii="Arial Narrow" w:hAnsi="Arial Narrow" w:cs="Arial"/>
          <w:b/>
          <w:sz w:val="16"/>
          <w:szCs w:val="16"/>
        </w:rPr>
      </w:pPr>
    </w:p>
    <w:sectPr w:rsidR="00F2577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0997A" w14:textId="77777777" w:rsidR="0008783F" w:rsidRDefault="0008783F" w:rsidP="00BE2216">
      <w:pPr>
        <w:spacing w:after="0" w:line="240" w:lineRule="auto"/>
      </w:pPr>
      <w:r>
        <w:separator/>
      </w:r>
    </w:p>
  </w:endnote>
  <w:endnote w:type="continuationSeparator" w:id="0">
    <w:p w14:paraId="68591439" w14:textId="77777777" w:rsidR="0008783F" w:rsidRDefault="0008783F" w:rsidP="00BE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ppleSystemUIFont">
    <w:altName w:val="Cambria"/>
    <w:charset w:val="00"/>
    <w:family w:val="roman"/>
    <w:pitch w:val="default"/>
  </w:font>
  <w:font w:name="UICTFontTextStyleBody">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099121"/>
      <w:docPartObj>
        <w:docPartGallery w:val="Page Numbers (Bottom of Page)"/>
        <w:docPartUnique/>
      </w:docPartObj>
    </w:sdtPr>
    <w:sdtEndPr/>
    <w:sdtContent>
      <w:sdt>
        <w:sdtPr>
          <w:id w:val="-1769616900"/>
          <w:docPartObj>
            <w:docPartGallery w:val="Page Numbers (Top of Page)"/>
            <w:docPartUnique/>
          </w:docPartObj>
        </w:sdtPr>
        <w:sdtEndPr/>
        <w:sdtContent>
          <w:p w14:paraId="54874D6A" w14:textId="7E3514D7" w:rsidR="00316B7B" w:rsidRDefault="00316B7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5506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55068">
              <w:rPr>
                <w:b/>
                <w:bCs/>
                <w:noProof/>
              </w:rPr>
              <w:t>6</w:t>
            </w:r>
            <w:r>
              <w:rPr>
                <w:b/>
                <w:bCs/>
                <w:sz w:val="24"/>
                <w:szCs w:val="24"/>
              </w:rPr>
              <w:fldChar w:fldCharType="end"/>
            </w:r>
          </w:p>
        </w:sdtContent>
      </w:sdt>
    </w:sdtContent>
  </w:sdt>
  <w:p w14:paraId="087AFCCF" w14:textId="77777777" w:rsidR="00316B7B" w:rsidRDefault="00316B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E3D6D" w14:textId="77777777" w:rsidR="0008783F" w:rsidRDefault="0008783F" w:rsidP="00BE2216">
      <w:pPr>
        <w:spacing w:after="0" w:line="240" w:lineRule="auto"/>
      </w:pPr>
      <w:r>
        <w:separator/>
      </w:r>
    </w:p>
  </w:footnote>
  <w:footnote w:type="continuationSeparator" w:id="0">
    <w:p w14:paraId="3AA27B99" w14:textId="77777777" w:rsidR="0008783F" w:rsidRDefault="0008783F" w:rsidP="00BE2216">
      <w:pPr>
        <w:spacing w:after="0" w:line="240" w:lineRule="auto"/>
      </w:pPr>
      <w:r>
        <w:continuationSeparator/>
      </w:r>
    </w:p>
  </w:footnote>
  <w:footnote w:id="1">
    <w:p w14:paraId="1EE4AE57" w14:textId="77777777" w:rsidR="007804B7" w:rsidRDefault="007804B7" w:rsidP="007804B7">
      <w:pPr>
        <w:pStyle w:val="Textonotapie"/>
      </w:pPr>
      <w:r>
        <w:rPr>
          <w:rStyle w:val="Refdenotaalpie"/>
          <w:rFonts w:eastAsia="Calibri"/>
        </w:rPr>
        <w:footnoteRef/>
      </w:r>
      <w:r>
        <w:t xml:space="preserve"> </w:t>
      </w:r>
      <w:r w:rsidRPr="00435B32">
        <w:t>Diccionario de la Lengua Española de la Real Academia Española. 23ª Edición, 2014.</w:t>
      </w:r>
    </w:p>
  </w:footnote>
  <w:footnote w:id="2">
    <w:p w14:paraId="460105F7" w14:textId="77777777" w:rsidR="007804B7" w:rsidRDefault="007804B7" w:rsidP="007804B7">
      <w:pPr>
        <w:pStyle w:val="Textonotapie"/>
      </w:pPr>
      <w:r>
        <w:rPr>
          <w:rStyle w:val="Refdenotaalpie"/>
          <w:rFonts w:eastAsia="Calibri"/>
        </w:rPr>
        <w:footnoteRef/>
      </w:r>
      <w:r>
        <w:t xml:space="preserve"> </w:t>
      </w:r>
      <w:r w:rsidRPr="00435B32">
        <w:t>Declaración sobre las Responsabilidades de las Generaciones Actuales para con las Generaciones Futuras adoptada el 12 de noviembre de 1997 por la Conferencia General de la UNESCO en su 29ª reunión.</w:t>
      </w:r>
    </w:p>
  </w:footnote>
  <w:footnote w:id="3">
    <w:p w14:paraId="304E9DB6" w14:textId="77777777" w:rsidR="007804B7" w:rsidRDefault="007804B7" w:rsidP="007804B7">
      <w:pPr>
        <w:pStyle w:val="Textonotapie"/>
      </w:pPr>
      <w:r>
        <w:rPr>
          <w:rStyle w:val="Refdenotaalpie"/>
          <w:rFonts w:eastAsia="Calibri"/>
        </w:rPr>
        <w:footnoteRef/>
      </w:r>
      <w:r>
        <w:t xml:space="preserve"> </w:t>
      </w:r>
      <w:r w:rsidRPr="00435B32">
        <w:t>Convención para la Salvaguardia del Patrimonio Cultural Inmaterial adoptada por la UNESCO, en su 32ª reunión, celebrada en parís del veintinueve de septiembre al diecisiete de octubre de 2003.</w:t>
      </w:r>
    </w:p>
  </w:footnote>
  <w:footnote w:id="4">
    <w:p w14:paraId="530525CF" w14:textId="77777777" w:rsidR="007804B7" w:rsidRDefault="007804B7" w:rsidP="007804B7">
      <w:pPr>
        <w:pStyle w:val="Textonotapie"/>
      </w:pPr>
      <w:r>
        <w:rPr>
          <w:rStyle w:val="Refdenotaalpie"/>
          <w:rFonts w:eastAsia="Calibri"/>
        </w:rPr>
        <w:footnoteRef/>
      </w:r>
      <w:r>
        <w:t xml:space="preserve"> </w:t>
      </w:r>
      <w:r w:rsidRPr="00435B32">
        <w:t xml:space="preserve">Irigoyen, Renan (1977:7) “Concurso de la canción yucateca 1925-1976”. México: Ediciones de CORDEMEX.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BFD9" w14:textId="647FB570" w:rsidR="00BE2216" w:rsidRDefault="00E17D96">
    <w:pPr>
      <w:pStyle w:val="Encabezado"/>
    </w:pPr>
    <w:r>
      <w:rPr>
        <w:noProof/>
      </w:rPr>
      <w:drawing>
        <wp:anchor distT="0" distB="0" distL="114300" distR="114300" simplePos="0" relativeHeight="251659264" behindDoc="0" locked="0" layoutInCell="1" allowOverlap="1" wp14:anchorId="21571BB6" wp14:editId="665D0D87">
          <wp:simplePos x="0" y="0"/>
          <wp:positionH relativeFrom="margin">
            <wp:align>left</wp:align>
          </wp:positionH>
          <wp:positionV relativeFrom="paragraph">
            <wp:posOffset>-105410</wp:posOffset>
          </wp:positionV>
          <wp:extent cx="876300" cy="876300"/>
          <wp:effectExtent l="0" t="0" r="0" b="0"/>
          <wp:wrapSquare wrapText="bothSides"/>
          <wp:docPr id="4" name="Imagen 2" descr="Imagen que contiene dibujo,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Imagen que contiene dibujo, firma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233E4F4" wp14:editId="09C06D82">
              <wp:simplePos x="0" y="0"/>
              <wp:positionH relativeFrom="column">
                <wp:posOffset>4533900</wp:posOffset>
              </wp:positionH>
              <wp:positionV relativeFrom="paragraph">
                <wp:posOffset>562610</wp:posOffset>
              </wp:positionV>
              <wp:extent cx="1892300" cy="434975"/>
              <wp:effectExtent l="0" t="1270" r="0" b="190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3E4F4" id="_x0000_t202" coordsize="21600,21600" o:spt="202" path="m,l,21600r21600,l21600,xe">
              <v:stroke joinstyle="miter"/>
              <v:path gradientshapeok="t" o:connecttype="rect"/>
            </v:shapetype>
            <v:shape id="Text Box 3" o:spid="_x0000_s1026" type="#_x0000_t202" style="position:absolute;margin-left:357pt;margin-top:44.3pt;width:149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6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W3IOIkmAZhKsJEJSeZTF4Kmx9u90uYdkx2y&#10;iwwr6LxDp7t7bWw2ND262GBCFrxtXfdbcXEAjuMJxIar1m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" filled="f" stroked="f">
              <v:textbo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v:textbox>
              <w10:wrap type="topAndBottom"/>
            </v:shape>
          </w:pict>
        </mc:Fallback>
      </mc:AlternateContent>
    </w:r>
    <w:r>
      <w:rPr>
        <w:noProof/>
      </w:rPr>
      <w:drawing>
        <wp:anchor distT="0" distB="0" distL="114300" distR="114300" simplePos="0" relativeHeight="251662336" behindDoc="0" locked="0" layoutInCell="1" allowOverlap="1" wp14:anchorId="1B789C91" wp14:editId="7672585C">
          <wp:simplePos x="0" y="0"/>
          <wp:positionH relativeFrom="column">
            <wp:posOffset>4901565</wp:posOffset>
          </wp:positionH>
          <wp:positionV relativeFrom="paragraph">
            <wp:posOffset>-230505</wp:posOffset>
          </wp:positionV>
          <wp:extent cx="1247775" cy="848097"/>
          <wp:effectExtent l="0" t="0" r="0" b="9525"/>
          <wp:wrapNone/>
          <wp:docPr id="3" name="Imagen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Dibujo en blanco y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b="27553"/>
                  <a:stretch>
                    <a:fillRect/>
                  </a:stretch>
                </pic:blipFill>
                <pic:spPr bwMode="auto">
                  <a:xfrm>
                    <a:off x="0" y="0"/>
                    <a:ext cx="1247775" cy="848097"/>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8D39093" wp14:editId="6A574400">
              <wp:simplePos x="0" y="0"/>
              <wp:positionH relativeFrom="column">
                <wp:posOffset>1034415</wp:posOffset>
              </wp:positionH>
              <wp:positionV relativeFrom="paragraph">
                <wp:posOffset>-134620</wp:posOffset>
              </wp:positionV>
              <wp:extent cx="3766185" cy="6375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9093" id="Text Box 2" o:spid="_x0000_s1027" type="#_x0000_t202" style="position:absolute;margin-left:81.45pt;margin-top:-10.6pt;width:296.5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s7uAIAAMA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" filled="f" stroked="f">
              <v:textbo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5A1"/>
    <w:multiLevelType w:val="hybridMultilevel"/>
    <w:tmpl w:val="6070456E"/>
    <w:lvl w:ilvl="0" w:tplc="080A0001">
      <w:start w:val="1"/>
      <w:numFmt w:val="bullet"/>
      <w:lvlText w:val=""/>
      <w:lvlJc w:val="left"/>
      <w:pPr>
        <w:ind w:left="7200" w:hanging="360"/>
      </w:pPr>
      <w:rPr>
        <w:rFonts w:ascii="Symbol" w:hAnsi="Symbol" w:hint="default"/>
      </w:rPr>
    </w:lvl>
    <w:lvl w:ilvl="1" w:tplc="080A0003" w:tentative="1">
      <w:start w:val="1"/>
      <w:numFmt w:val="bullet"/>
      <w:lvlText w:val="o"/>
      <w:lvlJc w:val="left"/>
      <w:pPr>
        <w:ind w:left="7920" w:hanging="360"/>
      </w:pPr>
      <w:rPr>
        <w:rFonts w:ascii="Courier New" w:hAnsi="Courier New" w:cs="Courier New" w:hint="default"/>
      </w:rPr>
    </w:lvl>
    <w:lvl w:ilvl="2" w:tplc="080A0005" w:tentative="1">
      <w:start w:val="1"/>
      <w:numFmt w:val="bullet"/>
      <w:lvlText w:val=""/>
      <w:lvlJc w:val="left"/>
      <w:pPr>
        <w:ind w:left="8640" w:hanging="360"/>
      </w:pPr>
      <w:rPr>
        <w:rFonts w:ascii="Wingdings" w:hAnsi="Wingdings" w:hint="default"/>
      </w:rPr>
    </w:lvl>
    <w:lvl w:ilvl="3" w:tplc="080A0001" w:tentative="1">
      <w:start w:val="1"/>
      <w:numFmt w:val="bullet"/>
      <w:lvlText w:val=""/>
      <w:lvlJc w:val="left"/>
      <w:pPr>
        <w:ind w:left="9360" w:hanging="360"/>
      </w:pPr>
      <w:rPr>
        <w:rFonts w:ascii="Symbol" w:hAnsi="Symbol" w:hint="default"/>
      </w:rPr>
    </w:lvl>
    <w:lvl w:ilvl="4" w:tplc="080A0003" w:tentative="1">
      <w:start w:val="1"/>
      <w:numFmt w:val="bullet"/>
      <w:lvlText w:val="o"/>
      <w:lvlJc w:val="left"/>
      <w:pPr>
        <w:ind w:left="10080" w:hanging="360"/>
      </w:pPr>
      <w:rPr>
        <w:rFonts w:ascii="Courier New" w:hAnsi="Courier New" w:cs="Courier New" w:hint="default"/>
      </w:rPr>
    </w:lvl>
    <w:lvl w:ilvl="5" w:tplc="080A0005" w:tentative="1">
      <w:start w:val="1"/>
      <w:numFmt w:val="bullet"/>
      <w:lvlText w:val=""/>
      <w:lvlJc w:val="left"/>
      <w:pPr>
        <w:ind w:left="10800" w:hanging="360"/>
      </w:pPr>
      <w:rPr>
        <w:rFonts w:ascii="Wingdings" w:hAnsi="Wingdings" w:hint="default"/>
      </w:rPr>
    </w:lvl>
    <w:lvl w:ilvl="6" w:tplc="080A0001" w:tentative="1">
      <w:start w:val="1"/>
      <w:numFmt w:val="bullet"/>
      <w:lvlText w:val=""/>
      <w:lvlJc w:val="left"/>
      <w:pPr>
        <w:ind w:left="11520" w:hanging="360"/>
      </w:pPr>
      <w:rPr>
        <w:rFonts w:ascii="Symbol" w:hAnsi="Symbol" w:hint="default"/>
      </w:rPr>
    </w:lvl>
    <w:lvl w:ilvl="7" w:tplc="080A0003" w:tentative="1">
      <w:start w:val="1"/>
      <w:numFmt w:val="bullet"/>
      <w:lvlText w:val="o"/>
      <w:lvlJc w:val="left"/>
      <w:pPr>
        <w:ind w:left="12240" w:hanging="360"/>
      </w:pPr>
      <w:rPr>
        <w:rFonts w:ascii="Courier New" w:hAnsi="Courier New" w:cs="Courier New" w:hint="default"/>
      </w:rPr>
    </w:lvl>
    <w:lvl w:ilvl="8" w:tplc="080A0005" w:tentative="1">
      <w:start w:val="1"/>
      <w:numFmt w:val="bullet"/>
      <w:lvlText w:val=""/>
      <w:lvlJc w:val="left"/>
      <w:pPr>
        <w:ind w:left="12960" w:hanging="360"/>
      </w:pPr>
      <w:rPr>
        <w:rFonts w:ascii="Wingdings" w:hAnsi="Wingdings" w:hint="default"/>
      </w:rPr>
    </w:lvl>
  </w:abstractNum>
  <w:abstractNum w:abstractNumId="1" w15:restartNumberingAfterBreak="0">
    <w:nsid w:val="0D1E6979"/>
    <w:multiLevelType w:val="hybridMultilevel"/>
    <w:tmpl w:val="3CC00F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ED7B4E"/>
    <w:multiLevelType w:val="hybridMultilevel"/>
    <w:tmpl w:val="59163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16"/>
    <w:rsid w:val="00000653"/>
    <w:rsid w:val="0000381B"/>
    <w:rsid w:val="00015C67"/>
    <w:rsid w:val="000217CF"/>
    <w:rsid w:val="00023539"/>
    <w:rsid w:val="00051AC6"/>
    <w:rsid w:val="00057BC0"/>
    <w:rsid w:val="0006001E"/>
    <w:rsid w:val="0006317F"/>
    <w:rsid w:val="0006575F"/>
    <w:rsid w:val="00075633"/>
    <w:rsid w:val="00083A45"/>
    <w:rsid w:val="000875F1"/>
    <w:rsid w:val="0008783F"/>
    <w:rsid w:val="00087CE0"/>
    <w:rsid w:val="00092BBE"/>
    <w:rsid w:val="000946E2"/>
    <w:rsid w:val="00140B57"/>
    <w:rsid w:val="00176378"/>
    <w:rsid w:val="0018386B"/>
    <w:rsid w:val="001A21EC"/>
    <w:rsid w:val="001A4B84"/>
    <w:rsid w:val="001B5A8E"/>
    <w:rsid w:val="001C36F7"/>
    <w:rsid w:val="001E1BA8"/>
    <w:rsid w:val="001E258D"/>
    <w:rsid w:val="001E3415"/>
    <w:rsid w:val="001E4309"/>
    <w:rsid w:val="001F052A"/>
    <w:rsid w:val="001F334A"/>
    <w:rsid w:val="001F43A4"/>
    <w:rsid w:val="00200C6F"/>
    <w:rsid w:val="00207F6F"/>
    <w:rsid w:val="00213370"/>
    <w:rsid w:val="00233A89"/>
    <w:rsid w:val="002340AB"/>
    <w:rsid w:val="00235358"/>
    <w:rsid w:val="0024110A"/>
    <w:rsid w:val="00252018"/>
    <w:rsid w:val="002574BB"/>
    <w:rsid w:val="002619F1"/>
    <w:rsid w:val="00261B9A"/>
    <w:rsid w:val="00270744"/>
    <w:rsid w:val="00273598"/>
    <w:rsid w:val="00285E81"/>
    <w:rsid w:val="002920F5"/>
    <w:rsid w:val="002A4DBE"/>
    <w:rsid w:val="002B4DF7"/>
    <w:rsid w:val="002B7EE2"/>
    <w:rsid w:val="002C07E8"/>
    <w:rsid w:val="002C105D"/>
    <w:rsid w:val="002D3804"/>
    <w:rsid w:val="002D4803"/>
    <w:rsid w:val="002D6779"/>
    <w:rsid w:val="002E385D"/>
    <w:rsid w:val="002F28DB"/>
    <w:rsid w:val="002F6C73"/>
    <w:rsid w:val="00307D07"/>
    <w:rsid w:val="00316B7B"/>
    <w:rsid w:val="003206D7"/>
    <w:rsid w:val="00335913"/>
    <w:rsid w:val="003407FB"/>
    <w:rsid w:val="00344970"/>
    <w:rsid w:val="00350D98"/>
    <w:rsid w:val="00353A5B"/>
    <w:rsid w:val="00355068"/>
    <w:rsid w:val="00385CAB"/>
    <w:rsid w:val="0039632D"/>
    <w:rsid w:val="003A5785"/>
    <w:rsid w:val="003B3E4A"/>
    <w:rsid w:val="003D768F"/>
    <w:rsid w:val="003E0556"/>
    <w:rsid w:val="003F1E87"/>
    <w:rsid w:val="003F7BD7"/>
    <w:rsid w:val="00400365"/>
    <w:rsid w:val="004054D7"/>
    <w:rsid w:val="00412BD0"/>
    <w:rsid w:val="00414275"/>
    <w:rsid w:val="00420EBB"/>
    <w:rsid w:val="004327DC"/>
    <w:rsid w:val="00435865"/>
    <w:rsid w:val="00436D46"/>
    <w:rsid w:val="00442701"/>
    <w:rsid w:val="00453979"/>
    <w:rsid w:val="004607CC"/>
    <w:rsid w:val="00482E37"/>
    <w:rsid w:val="004902AB"/>
    <w:rsid w:val="00491D55"/>
    <w:rsid w:val="00495AA0"/>
    <w:rsid w:val="004B313C"/>
    <w:rsid w:val="004D217E"/>
    <w:rsid w:val="004D27AE"/>
    <w:rsid w:val="004D5CC1"/>
    <w:rsid w:val="004E0159"/>
    <w:rsid w:val="004F0FDE"/>
    <w:rsid w:val="004F21FF"/>
    <w:rsid w:val="004F313D"/>
    <w:rsid w:val="004F4A90"/>
    <w:rsid w:val="00501894"/>
    <w:rsid w:val="005061BB"/>
    <w:rsid w:val="00526126"/>
    <w:rsid w:val="005533EF"/>
    <w:rsid w:val="00553852"/>
    <w:rsid w:val="00554917"/>
    <w:rsid w:val="0056664F"/>
    <w:rsid w:val="00572A4C"/>
    <w:rsid w:val="005760DF"/>
    <w:rsid w:val="0058065A"/>
    <w:rsid w:val="00585B27"/>
    <w:rsid w:val="00590E8F"/>
    <w:rsid w:val="00593FB8"/>
    <w:rsid w:val="005B36CF"/>
    <w:rsid w:val="005B6761"/>
    <w:rsid w:val="005C0462"/>
    <w:rsid w:val="005D2B20"/>
    <w:rsid w:val="005D339E"/>
    <w:rsid w:val="005F3F9D"/>
    <w:rsid w:val="00610D29"/>
    <w:rsid w:val="0061259E"/>
    <w:rsid w:val="00616C95"/>
    <w:rsid w:val="0061798D"/>
    <w:rsid w:val="00624C31"/>
    <w:rsid w:val="00667765"/>
    <w:rsid w:val="00672C94"/>
    <w:rsid w:val="0069285A"/>
    <w:rsid w:val="006A6B35"/>
    <w:rsid w:val="006B373D"/>
    <w:rsid w:val="006B3ACB"/>
    <w:rsid w:val="006B7480"/>
    <w:rsid w:val="006D5898"/>
    <w:rsid w:val="006E197D"/>
    <w:rsid w:val="006E1D57"/>
    <w:rsid w:val="006F1513"/>
    <w:rsid w:val="0070693B"/>
    <w:rsid w:val="00711108"/>
    <w:rsid w:val="007143FA"/>
    <w:rsid w:val="00722197"/>
    <w:rsid w:val="0073683B"/>
    <w:rsid w:val="0073759C"/>
    <w:rsid w:val="0073767A"/>
    <w:rsid w:val="007410F9"/>
    <w:rsid w:val="00745105"/>
    <w:rsid w:val="007526ED"/>
    <w:rsid w:val="0075610A"/>
    <w:rsid w:val="007804B7"/>
    <w:rsid w:val="00786E80"/>
    <w:rsid w:val="00791402"/>
    <w:rsid w:val="00793F46"/>
    <w:rsid w:val="007A03B1"/>
    <w:rsid w:val="007A726F"/>
    <w:rsid w:val="007B5CAB"/>
    <w:rsid w:val="007C1EC0"/>
    <w:rsid w:val="007C1FCA"/>
    <w:rsid w:val="007D30AF"/>
    <w:rsid w:val="007E11DC"/>
    <w:rsid w:val="007E36AA"/>
    <w:rsid w:val="007E757D"/>
    <w:rsid w:val="007F0C67"/>
    <w:rsid w:val="007F3B8F"/>
    <w:rsid w:val="007F522C"/>
    <w:rsid w:val="0080250A"/>
    <w:rsid w:val="00814A22"/>
    <w:rsid w:val="00814AFE"/>
    <w:rsid w:val="008220A2"/>
    <w:rsid w:val="0082539E"/>
    <w:rsid w:val="00834758"/>
    <w:rsid w:val="00843E12"/>
    <w:rsid w:val="00862B8F"/>
    <w:rsid w:val="00862FC2"/>
    <w:rsid w:val="008661D8"/>
    <w:rsid w:val="00874440"/>
    <w:rsid w:val="008826E3"/>
    <w:rsid w:val="00895E30"/>
    <w:rsid w:val="008976E2"/>
    <w:rsid w:val="008A3F54"/>
    <w:rsid w:val="008A668C"/>
    <w:rsid w:val="008B4FE4"/>
    <w:rsid w:val="008C6E43"/>
    <w:rsid w:val="008C7096"/>
    <w:rsid w:val="008D037A"/>
    <w:rsid w:val="008D0FED"/>
    <w:rsid w:val="008D10F1"/>
    <w:rsid w:val="008D41C1"/>
    <w:rsid w:val="008D4FAC"/>
    <w:rsid w:val="008F5F79"/>
    <w:rsid w:val="00915171"/>
    <w:rsid w:val="009339BD"/>
    <w:rsid w:val="00933B16"/>
    <w:rsid w:val="00945A7E"/>
    <w:rsid w:val="00947F1E"/>
    <w:rsid w:val="00951617"/>
    <w:rsid w:val="00952447"/>
    <w:rsid w:val="00954084"/>
    <w:rsid w:val="009578CD"/>
    <w:rsid w:val="00974B37"/>
    <w:rsid w:val="009854DF"/>
    <w:rsid w:val="00987B38"/>
    <w:rsid w:val="00991652"/>
    <w:rsid w:val="009979D4"/>
    <w:rsid w:val="009C05FD"/>
    <w:rsid w:val="009C3F54"/>
    <w:rsid w:val="009D11E1"/>
    <w:rsid w:val="009E5FF3"/>
    <w:rsid w:val="00A06456"/>
    <w:rsid w:val="00A13AFB"/>
    <w:rsid w:val="00A1577E"/>
    <w:rsid w:val="00A245DC"/>
    <w:rsid w:val="00A86180"/>
    <w:rsid w:val="00A942E0"/>
    <w:rsid w:val="00AA2844"/>
    <w:rsid w:val="00AB64F7"/>
    <w:rsid w:val="00AC6731"/>
    <w:rsid w:val="00AD141E"/>
    <w:rsid w:val="00AD2552"/>
    <w:rsid w:val="00AD3058"/>
    <w:rsid w:val="00AD4A5B"/>
    <w:rsid w:val="00AE2A35"/>
    <w:rsid w:val="00AE57B6"/>
    <w:rsid w:val="00AE6932"/>
    <w:rsid w:val="00AE6A89"/>
    <w:rsid w:val="00AF369A"/>
    <w:rsid w:val="00B009D4"/>
    <w:rsid w:val="00B11142"/>
    <w:rsid w:val="00B3039F"/>
    <w:rsid w:val="00B60877"/>
    <w:rsid w:val="00B718D6"/>
    <w:rsid w:val="00B73B8A"/>
    <w:rsid w:val="00B75644"/>
    <w:rsid w:val="00B87E9E"/>
    <w:rsid w:val="00B93602"/>
    <w:rsid w:val="00B9396B"/>
    <w:rsid w:val="00B9581E"/>
    <w:rsid w:val="00BA116A"/>
    <w:rsid w:val="00BB3E90"/>
    <w:rsid w:val="00BD435C"/>
    <w:rsid w:val="00BE2216"/>
    <w:rsid w:val="00BE3118"/>
    <w:rsid w:val="00C05AE9"/>
    <w:rsid w:val="00C35076"/>
    <w:rsid w:val="00C51329"/>
    <w:rsid w:val="00C74CED"/>
    <w:rsid w:val="00C915CA"/>
    <w:rsid w:val="00CA039E"/>
    <w:rsid w:val="00CA05BA"/>
    <w:rsid w:val="00CA412F"/>
    <w:rsid w:val="00CA42E7"/>
    <w:rsid w:val="00CB35AF"/>
    <w:rsid w:val="00CB48D2"/>
    <w:rsid w:val="00CB4E13"/>
    <w:rsid w:val="00CC7413"/>
    <w:rsid w:val="00CE0FEE"/>
    <w:rsid w:val="00CE4FA6"/>
    <w:rsid w:val="00CF556C"/>
    <w:rsid w:val="00D109D0"/>
    <w:rsid w:val="00D13DFC"/>
    <w:rsid w:val="00D17A1E"/>
    <w:rsid w:val="00D23DF6"/>
    <w:rsid w:val="00D2451E"/>
    <w:rsid w:val="00D27CF7"/>
    <w:rsid w:val="00D35D3E"/>
    <w:rsid w:val="00D46D04"/>
    <w:rsid w:val="00D52D8C"/>
    <w:rsid w:val="00D656B2"/>
    <w:rsid w:val="00D703DB"/>
    <w:rsid w:val="00D82AF1"/>
    <w:rsid w:val="00D927BF"/>
    <w:rsid w:val="00D946FF"/>
    <w:rsid w:val="00DA3467"/>
    <w:rsid w:val="00DA3F86"/>
    <w:rsid w:val="00DB1D9F"/>
    <w:rsid w:val="00DB2EAC"/>
    <w:rsid w:val="00DB5BBA"/>
    <w:rsid w:val="00DB5E7B"/>
    <w:rsid w:val="00DB7A0D"/>
    <w:rsid w:val="00DC0BB1"/>
    <w:rsid w:val="00DC76DF"/>
    <w:rsid w:val="00DD05D9"/>
    <w:rsid w:val="00DD08A7"/>
    <w:rsid w:val="00DD1B6B"/>
    <w:rsid w:val="00DD79D4"/>
    <w:rsid w:val="00DE0E73"/>
    <w:rsid w:val="00DF1084"/>
    <w:rsid w:val="00E001F8"/>
    <w:rsid w:val="00E04C22"/>
    <w:rsid w:val="00E07DF7"/>
    <w:rsid w:val="00E14168"/>
    <w:rsid w:val="00E14AEB"/>
    <w:rsid w:val="00E17D96"/>
    <w:rsid w:val="00E3698D"/>
    <w:rsid w:val="00E46BD5"/>
    <w:rsid w:val="00E632E6"/>
    <w:rsid w:val="00E814D3"/>
    <w:rsid w:val="00E86853"/>
    <w:rsid w:val="00EA2DC9"/>
    <w:rsid w:val="00EB12F6"/>
    <w:rsid w:val="00EB44F4"/>
    <w:rsid w:val="00EB64BB"/>
    <w:rsid w:val="00EC0F2A"/>
    <w:rsid w:val="00ED7E1A"/>
    <w:rsid w:val="00EF4A66"/>
    <w:rsid w:val="00F13F94"/>
    <w:rsid w:val="00F16CCB"/>
    <w:rsid w:val="00F2172A"/>
    <w:rsid w:val="00F25778"/>
    <w:rsid w:val="00F26870"/>
    <w:rsid w:val="00F26887"/>
    <w:rsid w:val="00F36CD1"/>
    <w:rsid w:val="00F41E77"/>
    <w:rsid w:val="00F45121"/>
    <w:rsid w:val="00F47435"/>
    <w:rsid w:val="00F50DDC"/>
    <w:rsid w:val="00F53DBB"/>
    <w:rsid w:val="00F618EB"/>
    <w:rsid w:val="00F64EE8"/>
    <w:rsid w:val="00F73717"/>
    <w:rsid w:val="00F9530A"/>
    <w:rsid w:val="00FA23DB"/>
    <w:rsid w:val="00FA676B"/>
    <w:rsid w:val="00FA6C0C"/>
    <w:rsid w:val="00FD036C"/>
    <w:rsid w:val="00FD6D5E"/>
    <w:rsid w:val="00FE5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7486"/>
  <w15:chartTrackingRefBased/>
  <w15:docId w15:val="{CA995440-A950-48B6-9FF7-D5B2601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16"/>
    <w:rPr>
      <w:rFonts w:ascii="Calibri" w:eastAsia="Calibri" w:hAnsi="Calibri" w:cs="Calibri"/>
      <w:lang w:eastAsia="es-MX"/>
    </w:rPr>
  </w:style>
  <w:style w:type="paragraph" w:styleId="Ttulo5">
    <w:name w:val="heading 5"/>
    <w:basedOn w:val="Normal"/>
    <w:next w:val="Normal"/>
    <w:link w:val="Ttulo5Car"/>
    <w:qFormat/>
    <w:rsid w:val="00E17D9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216"/>
    <w:rPr>
      <w:rFonts w:ascii="Calibri" w:eastAsia="Calibri" w:hAnsi="Calibri" w:cs="Calibri"/>
      <w:lang w:eastAsia="es-MX"/>
    </w:rPr>
  </w:style>
  <w:style w:type="paragraph" w:styleId="Piedepgina">
    <w:name w:val="footer"/>
    <w:basedOn w:val="Normal"/>
    <w:link w:val="PiedepginaCar"/>
    <w:uiPriority w:val="99"/>
    <w:unhideWhenUsed/>
    <w:rsid w:val="00BE2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216"/>
    <w:rPr>
      <w:rFonts w:ascii="Calibri" w:eastAsia="Calibri" w:hAnsi="Calibri" w:cs="Calibri"/>
      <w:lang w:eastAsia="es-MX"/>
    </w:rPr>
  </w:style>
  <w:style w:type="character" w:customStyle="1" w:styleId="su-highlight">
    <w:name w:val="su-highlight"/>
    <w:basedOn w:val="Fuentedeprrafopredeter"/>
    <w:rsid w:val="00793F46"/>
  </w:style>
  <w:style w:type="character" w:styleId="Textoennegrita">
    <w:name w:val="Strong"/>
    <w:basedOn w:val="Fuentedeprrafopredeter"/>
    <w:uiPriority w:val="22"/>
    <w:qFormat/>
    <w:rsid w:val="00793F46"/>
    <w:rPr>
      <w:b/>
      <w:bCs/>
    </w:rPr>
  </w:style>
  <w:style w:type="character" w:customStyle="1" w:styleId="Ttulo5Car">
    <w:name w:val="Título 5 Car"/>
    <w:basedOn w:val="Fuentedeprrafopredeter"/>
    <w:link w:val="Ttulo5"/>
    <w:rsid w:val="00E17D96"/>
    <w:rPr>
      <w:rFonts w:ascii="Arial" w:eastAsia="Times New Roman" w:hAnsi="Arial" w:cs="Times New Roman"/>
      <w:b/>
      <w:sz w:val="20"/>
      <w:szCs w:val="20"/>
      <w:lang w:val="es-ES_tradnl" w:eastAsia="es-ES"/>
    </w:rPr>
  </w:style>
  <w:style w:type="paragraph" w:styleId="Sinespaciado">
    <w:name w:val="No Spacing"/>
    <w:uiPriority w:val="1"/>
    <w:qFormat/>
    <w:rsid w:val="00E17D9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Prrafodelista">
    <w:name w:val="List Paragraph"/>
    <w:basedOn w:val="Normal"/>
    <w:uiPriority w:val="34"/>
    <w:qFormat/>
    <w:rsid w:val="00E17D96"/>
    <w:pPr>
      <w:ind w:left="720"/>
      <w:contextualSpacing/>
    </w:pPr>
  </w:style>
  <w:style w:type="character" w:styleId="Refdecomentario">
    <w:name w:val="annotation reference"/>
    <w:basedOn w:val="Fuentedeprrafopredeter"/>
    <w:uiPriority w:val="99"/>
    <w:semiHidden/>
    <w:unhideWhenUsed/>
    <w:rsid w:val="00CA039E"/>
    <w:rPr>
      <w:sz w:val="16"/>
      <w:szCs w:val="16"/>
    </w:rPr>
  </w:style>
  <w:style w:type="paragraph" w:styleId="Textocomentario">
    <w:name w:val="annotation text"/>
    <w:basedOn w:val="Normal"/>
    <w:link w:val="TextocomentarioCar"/>
    <w:uiPriority w:val="99"/>
    <w:unhideWhenUsed/>
    <w:rsid w:val="00CA039E"/>
    <w:pPr>
      <w:spacing w:line="240" w:lineRule="auto"/>
    </w:pPr>
    <w:rPr>
      <w:sz w:val="20"/>
      <w:szCs w:val="20"/>
    </w:rPr>
  </w:style>
  <w:style w:type="character" w:customStyle="1" w:styleId="TextocomentarioCar">
    <w:name w:val="Texto comentario Car"/>
    <w:basedOn w:val="Fuentedeprrafopredeter"/>
    <w:link w:val="Textocomentario"/>
    <w:uiPriority w:val="99"/>
    <w:rsid w:val="00CA039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A039E"/>
    <w:rPr>
      <w:b/>
      <w:bCs/>
    </w:rPr>
  </w:style>
  <w:style w:type="character" w:customStyle="1" w:styleId="AsuntodelcomentarioCar">
    <w:name w:val="Asunto del comentario Car"/>
    <w:basedOn w:val="TextocomentarioCar"/>
    <w:link w:val="Asuntodelcomentario"/>
    <w:uiPriority w:val="99"/>
    <w:semiHidden/>
    <w:rsid w:val="00CA039E"/>
    <w:rPr>
      <w:rFonts w:ascii="Calibri" w:eastAsia="Calibri" w:hAnsi="Calibri" w:cs="Calibri"/>
      <w:b/>
      <w:bCs/>
      <w:sz w:val="20"/>
      <w:szCs w:val="20"/>
      <w:lang w:eastAsia="es-MX"/>
    </w:rPr>
  </w:style>
  <w:style w:type="paragraph" w:customStyle="1" w:styleId="p2">
    <w:name w:val="p2"/>
    <w:basedOn w:val="Normal"/>
    <w:rsid w:val="00814A22"/>
    <w:pPr>
      <w:spacing w:after="0" w:line="240" w:lineRule="auto"/>
    </w:pPr>
    <w:rPr>
      <w:rFonts w:ascii=".AppleSystemUIFont" w:eastAsiaTheme="minorEastAsia" w:hAnsi=".AppleSystemUIFont" w:cs="Times New Roman"/>
      <w:sz w:val="26"/>
      <w:szCs w:val="26"/>
    </w:rPr>
  </w:style>
  <w:style w:type="character" w:customStyle="1" w:styleId="s1">
    <w:name w:val="s1"/>
    <w:basedOn w:val="Fuentedeprrafopredeter"/>
    <w:rsid w:val="00814A22"/>
    <w:rPr>
      <w:rFonts w:ascii="UICTFontTextStyleBody" w:hAnsi="UICTFontTextStyleBody" w:hint="default"/>
      <w:b w:val="0"/>
      <w:bCs w:val="0"/>
      <w:i w:val="0"/>
      <w:iCs w:val="0"/>
      <w:sz w:val="26"/>
      <w:szCs w:val="26"/>
    </w:rPr>
  </w:style>
  <w:style w:type="paragraph" w:styleId="Textodeglobo">
    <w:name w:val="Balloon Text"/>
    <w:basedOn w:val="Normal"/>
    <w:link w:val="TextodegloboCar"/>
    <w:uiPriority w:val="99"/>
    <w:semiHidden/>
    <w:unhideWhenUsed/>
    <w:rsid w:val="00BA11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6A"/>
    <w:rPr>
      <w:rFonts w:ascii="Segoe UI" w:eastAsia="Calibri" w:hAnsi="Segoe UI" w:cs="Segoe UI"/>
      <w:sz w:val="18"/>
      <w:szCs w:val="18"/>
      <w:lang w:eastAsia="es-MX"/>
    </w:rPr>
  </w:style>
  <w:style w:type="paragraph" w:styleId="Textonotapie">
    <w:name w:val="footnote text"/>
    <w:basedOn w:val="Normal"/>
    <w:link w:val="TextonotapieCar"/>
    <w:uiPriority w:val="99"/>
    <w:semiHidden/>
    <w:unhideWhenUsed/>
    <w:rsid w:val="00AD141E"/>
    <w:pPr>
      <w:spacing w:after="0" w:line="240" w:lineRule="auto"/>
    </w:pPr>
    <w:rPr>
      <w:rFonts w:eastAsia="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AD141E"/>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AD141E"/>
    <w:rPr>
      <w:vertAlign w:val="superscript"/>
    </w:rPr>
  </w:style>
  <w:style w:type="paragraph" w:styleId="NormalWeb">
    <w:name w:val="Normal (Web)"/>
    <w:basedOn w:val="Normal"/>
    <w:uiPriority w:val="99"/>
    <w:semiHidden/>
    <w:unhideWhenUsed/>
    <w:rsid w:val="00CB48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B48D2"/>
    <w:rPr>
      <w:color w:val="0000FF"/>
      <w:u w:val="single"/>
    </w:rPr>
  </w:style>
  <w:style w:type="paragraph" w:customStyle="1" w:styleId="Estilo">
    <w:name w:val="Estilo"/>
    <w:basedOn w:val="Sinespaciado"/>
    <w:link w:val="EstiloCar"/>
    <w:qFormat/>
    <w:rsid w:val="00895E30"/>
    <w:pPr>
      <w:widowControl/>
      <w:wordWrap/>
      <w:autoSpaceDE/>
      <w:autoSpaceDN/>
    </w:pPr>
    <w:rPr>
      <w:rFonts w:ascii="Arial" w:eastAsiaTheme="minorHAnsi" w:hAnsi="Arial" w:cstheme="minorBidi"/>
      <w:kern w:val="0"/>
      <w:sz w:val="24"/>
      <w:szCs w:val="22"/>
      <w:lang w:val="es-MX" w:eastAsia="en-US"/>
    </w:rPr>
  </w:style>
  <w:style w:type="character" w:customStyle="1" w:styleId="EstiloCar">
    <w:name w:val="Estilo Car"/>
    <w:basedOn w:val="Fuentedeprrafopredeter"/>
    <w:link w:val="Estilo"/>
    <w:rsid w:val="00895E30"/>
    <w:rPr>
      <w:rFonts w:ascii="Arial" w:hAnsi="Arial"/>
      <w:sz w:val="24"/>
    </w:rPr>
  </w:style>
  <w:style w:type="character" w:customStyle="1" w:styleId="UnresolvedMention">
    <w:name w:val="Unresolved Mention"/>
    <w:basedOn w:val="Fuentedeprrafopredeter"/>
    <w:uiPriority w:val="99"/>
    <w:semiHidden/>
    <w:unhideWhenUsed/>
    <w:rsid w:val="00015C67"/>
    <w:rPr>
      <w:color w:val="605E5C"/>
      <w:shd w:val="clear" w:color="auto" w:fill="E1DFDD"/>
    </w:rPr>
  </w:style>
  <w:style w:type="character" w:customStyle="1" w:styleId="FontStyle12">
    <w:name w:val="Font Style12"/>
    <w:basedOn w:val="Fuentedeprrafopredeter"/>
    <w:uiPriority w:val="99"/>
    <w:rsid w:val="007804B7"/>
    <w:rPr>
      <w:rFonts w:ascii="Arial" w:hAnsi="Arial" w:cs="Arial"/>
      <w:b/>
      <w:bCs/>
      <w:sz w:val="22"/>
      <w:szCs w:val="22"/>
    </w:rPr>
  </w:style>
  <w:style w:type="table" w:styleId="Tablanormal1">
    <w:name w:val="Plain Table 1"/>
    <w:basedOn w:val="Tablanormal"/>
    <w:uiPriority w:val="41"/>
    <w:rsid w:val="002920F5"/>
    <w:pPr>
      <w:spacing w:after="0" w:line="240" w:lineRule="auto"/>
    </w:pPr>
    <w:rPr>
      <w:rFonts w:ascii="Arial" w:hAnsi="Arial" w:cs="Arial"/>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383568">
      <w:bodyDiv w:val="1"/>
      <w:marLeft w:val="0"/>
      <w:marRight w:val="0"/>
      <w:marTop w:val="0"/>
      <w:marBottom w:val="0"/>
      <w:divBdr>
        <w:top w:val="none" w:sz="0" w:space="0" w:color="auto"/>
        <w:left w:val="none" w:sz="0" w:space="0" w:color="auto"/>
        <w:bottom w:val="none" w:sz="0" w:space="0" w:color="auto"/>
        <w:right w:val="none" w:sz="0" w:space="0" w:color="auto"/>
      </w:divBdr>
    </w:div>
    <w:div w:id="19473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41B3-D399-484A-A190-2D03E9FE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10309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Ortega Cruz</dc:creator>
  <cp:keywords/>
  <dc:description/>
  <cp:lastModifiedBy>Mildred Manzanilla</cp:lastModifiedBy>
  <cp:revision>2</cp:revision>
  <cp:lastPrinted>2023-05-10T16:07:00Z</cp:lastPrinted>
  <dcterms:created xsi:type="dcterms:W3CDTF">2023-05-16T17:00:00Z</dcterms:created>
  <dcterms:modified xsi:type="dcterms:W3CDTF">2023-05-16T17:00:00Z</dcterms:modified>
</cp:coreProperties>
</file>